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both"/>
        <w:ind w:right="4540"/>
        <w:spacing w:after="0" w:line="300" w:lineRule="auto"/>
        <w:rPr>
          <w:sz w:val="20"/>
          <w:szCs w:val="20"/>
          <w:color w:val="auto"/>
        </w:rPr>
      </w:pPr>
      <w:r>
        <w:rPr>
          <w:rFonts w:ascii="Arial" w:cs="Arial" w:eastAsia="Arial" w:hAnsi="Arial"/>
          <w:sz w:val="122"/>
          <w:szCs w:val="122"/>
          <w:b w:val="1"/>
          <w:bCs w:val="1"/>
          <w:color w:val="FFFFFF"/>
        </w:rPr>
        <w:t xml:space="preserve">ANNUAL REPORT </w:t>
      </w:r>
      <w:r>
        <w:rPr>
          <w:rFonts w:ascii="Arial" w:cs="Arial" w:eastAsia="Arial" w:hAnsi="Arial"/>
          <w:sz w:val="122"/>
          <w:szCs w:val="122"/>
          <w:color w:val="93C8ED"/>
        </w:rPr>
        <w:t>2025</w:t>
      </w:r>
    </w:p>
    <w:p>
      <w:pPr>
        <w:sectPr>
          <w:pgSz w:w="11880" w:h="15480" w:orient="portrait"/>
          <w:cols w:equalWidth="0" w:num="1">
            <w:col w:w="9700"/>
          </w:cols>
          <w:pgMar w:left="740" w:top="1440" w:right="1440" w:bottom="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20"/>
          <w:szCs w:val="20"/>
          <w:color w:val="FFFFFF"/>
        </w:rPr>
        <w:t>www.mastechdigital.com</w:t>
      </w:r>
    </w:p>
    <w:p>
      <w:pPr>
        <w:sectPr>
          <w:pgSz w:w="11880" w:h="15480" w:orient="portrait"/>
          <w:cols w:equalWidth="0" w:num="1">
            <w:col w:w="9700"/>
          </w:cols>
          <w:pgMar w:left="740" w:top="1440" w:right="1440" w:bottom="4"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00"/>
          <w:szCs w:val="100"/>
          <w:b w:val="1"/>
          <w:bCs w:val="1"/>
          <w:color w:val="FFFFFF"/>
        </w:rPr>
        <w:t>Corporate Overview</w:t>
      </w:r>
    </w:p>
    <w:p>
      <w:pPr>
        <w:sectPr>
          <w:pgSz w:w="11880" w:h="15480" w:orient="portrait"/>
          <w:cols w:equalWidth="0" w:num="1">
            <w:col w:w="9840"/>
          </w:cols>
          <w:pgMar w:left="860" w:top="1440" w:right="1180" w:bottom="1440" w:gutter="0" w:footer="0" w:header="0"/>
        </w:sectPr>
      </w:pPr>
    </w:p>
    <w:bookmarkStart w:id="2" w:name="page3"/>
    <w:bookmarkEnd w:id="2"/>
    <w:p>
      <w:pPr>
        <w:spacing w:after="0"/>
        <w:rPr>
          <w:sz w:val="20"/>
          <w:szCs w:val="20"/>
          <w:color w:val="auto"/>
        </w:rPr>
      </w:pPr>
      <w:r>
        <w:rPr>
          <w:rFonts w:ascii="Arial" w:cs="Arial" w:eastAsia="Arial" w:hAnsi="Arial"/>
          <w:sz w:val="26"/>
          <w:szCs w:val="26"/>
          <w:b w:val="1"/>
          <w:bCs w:val="1"/>
          <w:color w:val="0D568B"/>
        </w:rPr>
        <w:drawing>
          <wp:anchor simplePos="0" relativeHeight="251657728" behindDoc="1" locked="0" layoutInCell="0" allowOverlap="1">
            <wp:simplePos x="0" y="0"/>
            <wp:positionH relativeFrom="page">
              <wp:posOffset>6008370</wp:posOffset>
            </wp:positionH>
            <wp:positionV relativeFrom="page">
              <wp:posOffset>233680</wp:posOffset>
            </wp:positionV>
            <wp:extent cx="120967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675" cy="300355"/>
                    </a:xfrm>
                    <a:prstGeom prst="rect">
                      <a:avLst/>
                    </a:prstGeom>
                    <a:noFill/>
                  </pic:spPr>
                </pic:pic>
              </a:graphicData>
            </a:graphic>
          </wp:anchor>
        </w:drawing>
        <w:t>Corporate Overview</w:t>
      </w:r>
    </w:p>
    <w:p>
      <w:pPr>
        <w:spacing w:after="0" w:line="226" w:lineRule="exact"/>
        <w:rPr>
          <w:sz w:val="20"/>
          <w:szCs w:val="20"/>
          <w:color w:val="auto"/>
        </w:rPr>
      </w:pPr>
    </w:p>
    <w:p>
      <w:pPr>
        <w:ind w:left="20"/>
        <w:spacing w:after="0" w:line="285" w:lineRule="auto"/>
        <w:rPr>
          <w:sz w:val="20"/>
          <w:szCs w:val="20"/>
          <w:color w:val="auto"/>
        </w:rPr>
      </w:pPr>
      <w:r>
        <w:rPr>
          <w:rFonts w:ascii="Arial" w:cs="Arial" w:eastAsia="Arial" w:hAnsi="Arial"/>
          <w:sz w:val="18"/>
          <w:szCs w:val="18"/>
          <w:color w:val="231F20"/>
        </w:rPr>
        <w:t xml:space="preserve">Mastech Digital (NYSE American: MHH) is a leading provider of Digital Transformation IT Services. The Company oǺers Data Management and Analytics Solutions, Digital Learning, and IT Staǽng Services with a Digital First approach. Backed by robust delivery methodologies and sourcing practices, our vibrant teams spread across the globe are able to drive high levels of business eǽciencies for our clients globally. A minority-owned enterprise, Mastech Digital is headquartered in Pittsburgh, PA with oǽces across the US, Canada, UK and India. For more information, visit </w:t>
      </w:r>
      <w:r>
        <w:rPr>
          <w:rFonts w:ascii="Arial" w:cs="Arial" w:eastAsia="Arial" w:hAnsi="Arial"/>
          <w:sz w:val="18"/>
          <w:szCs w:val="18"/>
          <w:b w:val="1"/>
          <w:bCs w:val="1"/>
          <w:color w:val="089BD1"/>
        </w:rPr>
        <w:t>www.mastechdigital.com.</w:t>
      </w:r>
    </w:p>
    <w:p>
      <w:pPr>
        <w:sectPr>
          <w:pgSz w:w="11880" w:h="15480" w:orient="portrait"/>
          <w:cols w:equalWidth="0" w:num="1">
            <w:col w:w="10360"/>
          </w:cols>
          <w:pgMar w:left="880" w:top="1083" w:right="640" w:bottom="141"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6"/>
          <w:szCs w:val="26"/>
          <w:b w:val="1"/>
          <w:bCs w:val="1"/>
          <w:color w:val="0D568B"/>
        </w:rPr>
        <w:t>Corporate Information</w:t>
      </w:r>
    </w:p>
    <w:p>
      <w:pPr>
        <w:spacing w:after="0" w:line="196" w:lineRule="exact"/>
        <w:rPr>
          <w:sz w:val="20"/>
          <w:szCs w:val="20"/>
          <w:color w:val="auto"/>
        </w:rPr>
      </w:pPr>
    </w:p>
    <w:p>
      <w:pPr>
        <w:ind w:left="20"/>
        <w:spacing w:after="0" w:line="243" w:lineRule="exact"/>
        <w:rPr>
          <w:sz w:val="20"/>
          <w:szCs w:val="20"/>
          <w:color w:val="auto"/>
        </w:rPr>
      </w:pPr>
      <w:r>
        <w:rPr>
          <w:rFonts w:ascii="PMingLiU" w:cs="PMingLiU" w:eastAsia="PMingLiU" w:hAnsi="PMingLiU"/>
          <w:sz w:val="20"/>
          <w:szCs w:val="20"/>
          <w:color w:val="231F20"/>
        </w:rPr>
        <w:t/>
      </w:r>
      <w:r>
        <w:rPr>
          <w:rFonts w:ascii="Arial" w:cs="Arial" w:eastAsia="Arial" w:hAnsi="Arial"/>
          <w:sz w:val="20"/>
          <w:szCs w:val="20"/>
          <w:color w:val="231F20"/>
        </w:rPr>
        <w:t>ÄÒÏÄÒ~Ü</w:t>
      </w:r>
      <w:r>
        <w:rPr>
          <w:rFonts w:ascii="PMingLiU" w:cs="PMingLiU" w:eastAsia="PMingLiU" w:hAnsi="PMingLiU"/>
          <w:sz w:val="20"/>
          <w:szCs w:val="20"/>
          <w:color w:val="231F20"/>
        </w:rPr>
        <w:t></w:t>
      </w:r>
      <w:r>
        <w:rPr>
          <w:rFonts w:ascii="Arial" w:cs="Arial" w:eastAsia="Arial" w:hAnsi="Arial"/>
          <w:sz w:val="20"/>
          <w:szCs w:val="20"/>
          <w:color w:val="231F20"/>
        </w:rPr>
        <w:t>ŁE ĝ</w:t>
      </w:r>
      <w:r>
        <w:rPr>
          <w:rFonts w:ascii="PMingLiU" w:cs="PMingLiU" w:eastAsia="PMingLiU" w:hAnsi="PMingLiU"/>
          <w:sz w:val="20"/>
          <w:szCs w:val="20"/>
          <w:color w:val="231F20"/>
        </w:rPr>
        <w:t></w:t>
      </w:r>
    </w:p>
    <w:p>
      <w:pPr>
        <w:spacing w:after="0" w:line="57" w:lineRule="exact"/>
        <w:rPr>
          <w:sz w:val="20"/>
          <w:szCs w:val="20"/>
          <w:color w:val="auto"/>
        </w:rPr>
      </w:pPr>
    </w:p>
    <w:p>
      <w:pPr>
        <w:ind w:left="20" w:right="1340"/>
        <w:spacing w:after="0" w:line="317" w:lineRule="auto"/>
        <w:rPr>
          <w:sz w:val="20"/>
          <w:szCs w:val="20"/>
          <w:color w:val="auto"/>
        </w:rPr>
      </w:pPr>
      <w:r>
        <w:rPr>
          <w:rFonts w:ascii="Arial" w:cs="Arial" w:eastAsia="Arial" w:hAnsi="Arial"/>
          <w:sz w:val="17"/>
          <w:szCs w:val="17"/>
          <w:color w:val="231F20"/>
        </w:rPr>
        <w:t>1305 Cherrington Parkway Building 210, Suite 400 Moon Township, PA 15108</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Annual Meeting of Shareholders</w:t>
      </w:r>
    </w:p>
    <w:p>
      <w:pPr>
        <w:spacing w:after="0" w:line="70" w:lineRule="exact"/>
        <w:rPr>
          <w:sz w:val="20"/>
          <w:szCs w:val="20"/>
          <w:color w:val="auto"/>
        </w:rPr>
      </w:pPr>
    </w:p>
    <w:p>
      <w:pPr>
        <w:ind w:left="20" w:right="800"/>
        <w:spacing w:after="0" w:line="278" w:lineRule="auto"/>
        <w:rPr>
          <w:sz w:val="20"/>
          <w:szCs w:val="20"/>
          <w:color w:val="auto"/>
        </w:rPr>
      </w:pPr>
      <w:r>
        <w:rPr>
          <w:rFonts w:ascii="Arial" w:cs="Arial" w:eastAsia="Arial" w:hAnsi="Arial"/>
          <w:sz w:val="18"/>
          <w:szCs w:val="18"/>
          <w:color w:val="231F20"/>
        </w:rPr>
        <w:t>The company will hold its annual meeting of shareholders on</w:t>
      </w:r>
    </w:p>
    <w:p>
      <w:pPr>
        <w:ind w:left="20" w:right="200"/>
        <w:spacing w:after="0" w:line="293" w:lineRule="auto"/>
        <w:rPr>
          <w:sz w:val="20"/>
          <w:szCs w:val="20"/>
          <w:color w:val="auto"/>
        </w:rPr>
      </w:pPr>
      <w:r>
        <w:rPr>
          <w:rFonts w:ascii="Arial" w:cs="Arial" w:eastAsia="Arial" w:hAnsi="Arial"/>
          <w:sz w:val="18"/>
          <w:szCs w:val="18"/>
          <w:color w:val="231F20"/>
        </w:rPr>
        <w:t>May 13, 2026, at 9:00 a.m. Central Time, at 511 East John Carpenter Freeway, Suite 500, Las Colinas, TX 75062.</w:t>
      </w:r>
    </w:p>
    <w:p>
      <w:pPr>
        <w:spacing w:after="0" w:line="39" w:lineRule="exact"/>
        <w:rPr>
          <w:sz w:val="20"/>
          <w:szCs w:val="20"/>
          <w:color w:val="auto"/>
        </w:rPr>
      </w:pPr>
    </w:p>
    <w:p>
      <w:pPr>
        <w:ind w:left="20" w:right="40"/>
        <w:spacing w:after="0" w:line="307" w:lineRule="auto"/>
        <w:rPr>
          <w:sz w:val="20"/>
          <w:szCs w:val="20"/>
          <w:color w:val="auto"/>
        </w:rPr>
      </w:pPr>
      <w:r>
        <w:rPr>
          <w:rFonts w:ascii="Arial" w:cs="Arial" w:eastAsia="Arial" w:hAnsi="Arial"/>
          <w:sz w:val="18"/>
          <w:szCs w:val="18"/>
          <w:color w:val="231F20"/>
        </w:rPr>
        <w:t>Shareholders of record as of April 4, 2025 will be invited to attend this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231F20"/>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-425450</wp:posOffset>
            </wp:positionV>
            <wp:extent cx="1997075" cy="7738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773811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231F20"/>
        </w:rPr>
        <w:t>Computershare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P.O. BOX 43006</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Providence, RI 02940-3006</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1.866.204.9008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89BD1"/>
        </w:rPr>
        <w:t>www.computershare.com/investor</w:t>
      </w:r>
    </w:p>
    <w:p>
      <w:pPr>
        <w:spacing w:after="0" w:line="273" w:lineRule="exact"/>
        <w:rPr>
          <w:sz w:val="20"/>
          <w:szCs w:val="20"/>
          <w:color w:val="auto"/>
        </w:rPr>
      </w:pPr>
    </w:p>
    <w:p>
      <w:pPr>
        <w:ind w:right="3340"/>
        <w:spacing w:after="0" w:line="236" w:lineRule="exact"/>
        <w:rPr>
          <w:sz w:val="20"/>
          <w:szCs w:val="20"/>
          <w:color w:val="auto"/>
        </w:rPr>
      </w:pPr>
      <w:r>
        <w:rPr>
          <w:rFonts w:ascii="Arial" w:cs="Arial" w:eastAsia="Arial" w:hAnsi="Arial"/>
          <w:sz w:val="14"/>
          <w:szCs w:val="14"/>
          <w:color w:val="231F20"/>
        </w:rPr>
        <w:t xml:space="preserve">For address changes, registration </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ÖŅŁ·ÄÖÜŁÖÜÄ</w:t>
      </w:r>
      <w:r>
        <w:rPr>
          <w:rFonts w:ascii="PMingLiU" w:cs="PMingLiU" w:eastAsia="PMingLiU" w:hAnsi="PMingLiU"/>
          <w:sz w:val="14"/>
          <w:szCs w:val="14"/>
          <w:color w:val="231F20"/>
        </w:rPr>
        <w:t></w:t>
      </w:r>
      <w:r>
        <w:rPr>
          <w:rFonts w:ascii="Arial" w:cs="Arial" w:eastAsia="Arial" w:hAnsi="Arial"/>
          <w:sz w:val="14"/>
          <w:szCs w:val="14"/>
          <w:color w:val="231F20"/>
        </w:rPr>
        <w:t>µŁ</w:t>
      </w:r>
      <w:r>
        <w:rPr>
          <w:rFonts w:ascii="PMingLiU" w:cs="PMingLiU" w:eastAsia="PMingLiU" w:hAnsi="PMingLiU"/>
          <w:sz w:val="14"/>
          <w:szCs w:val="14"/>
          <w:color w:val="231F20"/>
        </w:rPr>
        <w:t></w:t>
      </w:r>
      <w:r>
        <w:rPr>
          <w:rFonts w:ascii="Arial" w:cs="Arial" w:eastAsia="Arial" w:hAnsi="Arial"/>
          <w:sz w:val="14"/>
          <w:szCs w:val="14"/>
          <w:color w:val="231F20"/>
        </w:rPr>
        <w:t>ÒÜ§ĝ</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ÖŅ</w:t>
      </w:r>
    </w:p>
    <w:p>
      <w:pPr>
        <w:spacing w:after="0" w:line="9" w:lineRule="exact"/>
        <w:rPr>
          <w:sz w:val="20"/>
          <w:szCs w:val="20"/>
          <w:color w:val="auto"/>
        </w:rPr>
      </w:pPr>
    </w:p>
    <w:p>
      <w:pPr>
        <w:ind w:right="2880"/>
        <w:spacing w:after="0" w:line="288" w:lineRule="auto"/>
        <w:rPr>
          <w:sz w:val="20"/>
          <w:szCs w:val="20"/>
          <w:color w:val="auto"/>
        </w:rPr>
      </w:pPr>
      <w:r>
        <w:rPr>
          <w:rFonts w:ascii="Arial" w:cs="Arial" w:eastAsia="Arial" w:hAnsi="Arial"/>
          <w:sz w:val="18"/>
          <w:szCs w:val="18"/>
          <w:color w:val="231F20"/>
        </w:rPr>
        <w:t>or if you are receiving duplicate copies of the Annual Report, please contact Computershare at the address listed above.</w:t>
      </w:r>
    </w:p>
    <w:p>
      <w:pPr>
        <w:spacing w:after="0" w:line="372" w:lineRule="exact"/>
        <w:rPr>
          <w:sz w:val="20"/>
          <w:szCs w:val="20"/>
          <w:color w:val="auto"/>
        </w:rPr>
      </w:pPr>
    </w:p>
    <w:p>
      <w:pPr>
        <w:sectPr>
          <w:pgSz w:w="11880" w:h="15480" w:orient="portrait"/>
          <w:cols w:equalWidth="0" w:num="2">
            <w:col w:w="3520" w:space="720"/>
            <w:col w:w="6120"/>
          </w:cols>
          <w:pgMar w:left="880" w:top="1083" w:right="640" w:bottom="141"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Form 10-K</w:t>
      </w:r>
    </w:p>
    <w:p>
      <w:pPr>
        <w:spacing w:after="0" w:line="70" w:lineRule="exact"/>
        <w:rPr>
          <w:sz w:val="20"/>
          <w:szCs w:val="20"/>
          <w:color w:val="auto"/>
        </w:rPr>
      </w:pPr>
    </w:p>
    <w:p>
      <w:pPr>
        <w:ind w:left="20" w:right="3760"/>
        <w:spacing w:after="0" w:line="239" w:lineRule="exact"/>
        <w:rPr>
          <w:sz w:val="20"/>
          <w:szCs w:val="20"/>
          <w:color w:val="auto"/>
        </w:rPr>
      </w:pPr>
      <w:r>
        <w:rPr>
          <w:rFonts w:ascii="Arial" w:cs="Arial" w:eastAsia="Arial" w:hAnsi="Arial"/>
          <w:sz w:val="14"/>
          <w:szCs w:val="14"/>
          <w:color w:val="231F20"/>
        </w:rPr>
        <w:t xml:space="preserve">Additional copies of the company’s 2025 Annual Report on Form 10-K, and the </w:t>
      </w:r>
      <w:r>
        <w:rPr>
          <w:rFonts w:ascii="PMingLiU" w:cs="PMingLiU" w:eastAsia="PMingLiU" w:hAnsi="PMingLiU"/>
          <w:sz w:val="14"/>
          <w:szCs w:val="14"/>
          <w:color w:val="231F20"/>
        </w:rPr>
        <w:t></w:t>
      </w:r>
      <w:r>
        <w:rPr>
          <w:rFonts w:ascii="Arial" w:cs="Arial" w:eastAsia="Arial" w:hAnsi="Arial"/>
          <w:sz w:val="14"/>
          <w:szCs w:val="14"/>
          <w:color w:val="231F20"/>
        </w:rPr>
        <w:t>ñ¥§</w:t>
      </w:r>
      <w:r>
        <w:rPr>
          <w:rFonts w:ascii="PMingLiU" w:cs="PMingLiU" w:eastAsia="PMingLiU" w:hAnsi="PMingLiU"/>
          <w:sz w:val="14"/>
          <w:szCs w:val="14"/>
          <w:color w:val="231F20"/>
        </w:rPr>
        <w:t></w:t>
      </w:r>
      <w:r>
        <w:rPr>
          <w:rFonts w:ascii="Arial" w:cs="Arial" w:eastAsia="Arial" w:hAnsi="Arial"/>
          <w:sz w:val="14"/>
          <w:szCs w:val="14"/>
          <w:color w:val="231F20"/>
        </w:rPr>
        <w:t>§ÜÖŁ~¾</w:t>
      </w:r>
      <w:r>
        <w:rPr>
          <w:rFonts w:ascii="PMingLiU" w:cs="PMingLiU" w:eastAsia="PMingLiU" w:hAnsi="PMingLiU"/>
          <w:sz w:val="14"/>
          <w:szCs w:val="14"/>
          <w:color w:val="231F20"/>
        </w:rPr>
        <w:t></w:t>
      </w:r>
      <w:r>
        <w:rPr>
          <w:rFonts w:ascii="Arial" w:cs="Arial" w:eastAsia="Arial" w:hAnsi="Arial"/>
          <w:sz w:val="14"/>
          <w:szCs w:val="14"/>
          <w:color w:val="231F20"/>
        </w:rPr>
        <w:t>Łĝ¾~¾</w:t>
      </w:r>
      <w:r>
        <w:rPr>
          <w:rFonts w:ascii="PMingLiU" w:cs="PMingLiU" w:eastAsia="PMingLiU" w:hAnsi="PMingLiU"/>
          <w:sz w:val="14"/>
          <w:szCs w:val="14"/>
          <w:color w:val="231F20"/>
        </w:rPr>
        <w:t></w:t>
      </w:r>
      <w:r>
        <w:rPr>
          <w:rFonts w:ascii="Arial" w:cs="Arial" w:eastAsia="Arial" w:hAnsi="Arial"/>
          <w:sz w:val="14"/>
          <w:szCs w:val="14"/>
          <w:color w:val="231F20"/>
        </w:rPr>
        <w:t>§~·ŁÖÜ~Ü</w:t>
      </w:r>
      <w:r>
        <w:rPr>
          <w:rFonts w:ascii="PMingLiU" w:cs="PMingLiU" w:eastAsia="PMingLiU" w:hAnsi="PMingLiU"/>
          <w:sz w:val="14"/>
          <w:szCs w:val="14"/>
          <w:color w:val="231F20"/>
        </w:rPr>
        <w:t></w:t>
      </w:r>
      <w:r>
        <w:rPr>
          <w:rFonts w:ascii="Arial" w:cs="Arial" w:eastAsia="Arial" w:hAnsi="Arial"/>
          <w:sz w:val="14"/>
          <w:szCs w:val="14"/>
          <w:color w:val="231F20"/>
        </w:rPr>
        <w:t>½</w:t>
      </w:r>
      <w:r>
        <w:rPr>
          <w:rFonts w:ascii="PMingLiU" w:cs="PMingLiU" w:eastAsia="PMingLiU" w:hAnsi="PMingLiU"/>
          <w:sz w:val="14"/>
          <w:szCs w:val="14"/>
          <w:color w:val="231F20"/>
        </w:rPr>
        <w:t></w:t>
      </w:r>
      <w:r>
        <w:rPr>
          <w:rFonts w:ascii="Arial" w:cs="Arial" w:eastAsia="Arial" w:hAnsi="Arial"/>
          <w:sz w:val="14"/>
          <w:szCs w:val="14"/>
          <w:color w:val="231F20"/>
        </w:rPr>
        <w:t>¾ÜŁÖ</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à·</w:t>
      </w:r>
      <w:r>
        <w:rPr>
          <w:rFonts w:ascii="PMingLiU" w:cs="PMingLiU" w:eastAsia="PMingLiU" w:hAnsi="PMingLiU"/>
          <w:sz w:val="14"/>
          <w:szCs w:val="14"/>
          <w:color w:val="231F20"/>
        </w:rPr>
        <w:t></w:t>
      </w:r>
      <w:r>
        <w:rPr>
          <w:rFonts w:ascii="Arial" w:cs="Arial" w:eastAsia="Arial" w:hAnsi="Arial"/>
          <w:sz w:val="14"/>
          <w:szCs w:val="14"/>
          <w:color w:val="231F20"/>
        </w:rPr>
        <w:t>ÖŁ·§ÖÜ</w:t>
      </w:r>
      <w:r>
        <w:rPr>
          <w:rFonts w:ascii="PMingLiU" w:cs="PMingLiU" w:eastAsia="PMingLiU" w:hAnsi="PMingLiU"/>
          <w:sz w:val="14"/>
          <w:szCs w:val="14"/>
          <w:color w:val="231F20"/>
        </w:rPr>
        <w:t></w:t>
      </w:r>
      <w:r>
        <w:rPr>
          <w:rFonts w:ascii="Arial" w:cs="Arial" w:eastAsia="Arial" w:hAnsi="Arial"/>
          <w:sz w:val="14"/>
          <w:szCs w:val="14"/>
          <w:color w:val="231F20"/>
        </w:rPr>
        <w:t>Ł§¾ŁÜ¥~ÜŁÒ</w:t>
      </w:r>
      <w:r>
        <w:rPr>
          <w:rFonts w:ascii="PMingLiU" w:cs="PMingLiU" w:eastAsia="PMingLiU" w:hAnsi="PMingLiU"/>
          <w:sz w:val="14"/>
          <w:szCs w:val="14"/>
          <w:color w:val="231F20"/>
        </w:rPr>
        <w:t></w:t>
      </w:r>
      <w:r>
        <w:rPr>
          <w:rFonts w:ascii="Arial" w:cs="Arial" w:eastAsia="Arial" w:hAnsi="Arial"/>
          <w:sz w:val="14"/>
          <w:szCs w:val="14"/>
          <w:color w:val="231F20"/>
        </w:rPr>
        <w:t>ÏÄÒÜŅŁ~Ò</w:t>
      </w:r>
      <w:r>
        <w:rPr>
          <w:rFonts w:ascii="PMingLiU" w:cs="PMingLiU" w:eastAsia="PMingLiU" w:hAnsi="PMingLiU"/>
          <w:sz w:val="14"/>
          <w:szCs w:val="14"/>
          <w:color w:val="231F20"/>
        </w:rPr>
        <w:t></w:t>
      </w:r>
      <w:r>
        <w:rPr>
          <w:rFonts w:ascii="Arial" w:cs="Arial" w:eastAsia="Arial" w:hAnsi="Arial"/>
          <w:sz w:val="14"/>
          <w:szCs w:val="14"/>
          <w:color w:val="231F20"/>
        </w:rPr>
        <w:t>Ł~ë~§·~</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ò ìÒ§Ü§¾¡ŁÜÄŁ</w:t>
      </w:r>
      <w:r>
        <w:rPr>
          <w:rFonts w:ascii="PMingLiU" w:cs="PMingLiU" w:eastAsia="PMingLiU" w:hAnsi="PMingLiU"/>
          <w:sz w:val="14"/>
          <w:szCs w:val="14"/>
          <w:color w:val="231F20"/>
        </w:rPr>
        <w:t/>
      </w:r>
      <w:r>
        <w:rPr>
          <w:rFonts w:ascii="Arial" w:cs="Arial" w:eastAsia="Arial" w:hAnsi="Arial"/>
          <w:sz w:val="14"/>
          <w:szCs w:val="14"/>
          <w:color w:val="231F20"/>
        </w:rPr>
        <w:t>Ä¾¾~Ł6§³ÄìÖµ§ŅŁ*¾ë</w:t>
      </w:r>
      <w:r>
        <w:rPr>
          <w:rFonts w:ascii="PMingLiU" w:cs="PMingLiU" w:eastAsia="PMingLiU" w:hAnsi="PMingLiU"/>
          <w:sz w:val="14"/>
          <w:szCs w:val="14"/>
          <w:color w:val="231F20"/>
        </w:rPr>
        <w:t></w:t>
      </w:r>
      <w:r>
        <w:rPr>
          <w:rFonts w:ascii="Arial" w:cs="Arial" w:eastAsia="Arial" w:hAnsi="Arial"/>
          <w:sz w:val="14"/>
          <w:szCs w:val="14"/>
          <w:color w:val="231F20"/>
        </w:rPr>
        <w:t>ÖÜÄÒŁS</w:t>
      </w:r>
      <w:r>
        <w:rPr>
          <w:rFonts w:ascii="PMingLiU" w:cs="PMingLiU" w:eastAsia="PMingLiU" w:hAnsi="PMingLiU"/>
          <w:sz w:val="14"/>
          <w:szCs w:val="14"/>
          <w:color w:val="231F20"/>
        </w:rPr>
        <w:t></w:t>
      </w:r>
      <w:r>
        <w:rPr>
          <w:rFonts w:ascii="Arial" w:cs="Arial" w:eastAsia="Arial" w:hAnsi="Arial"/>
          <w:sz w:val="14"/>
          <w:szCs w:val="14"/>
          <w:color w:val="231F20"/>
        </w:rPr>
        <w:t>·~Ü§Ä¾ÖŁ&gt;~¾~¡</w:t>
      </w:r>
      <w:r>
        <w:rPr>
          <w:rFonts w:ascii="PMingLiU" w:cs="PMingLiU" w:eastAsia="PMingLiU" w:hAnsi="PMingLiU"/>
          <w:sz w:val="14"/>
          <w:szCs w:val="14"/>
          <w:color w:val="231F20"/>
        </w:rPr>
        <w:t></w:t>
      </w:r>
      <w:r>
        <w:rPr>
          <w:rFonts w:ascii="Arial" w:cs="Arial" w:eastAsia="Arial" w:hAnsi="Arial"/>
          <w:sz w:val="14"/>
          <w:szCs w:val="14"/>
          <w:color w:val="231F20"/>
        </w:rPr>
        <w:t>ÒŅŁ~ÜŁÜ¥</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
      </w:r>
      <w:r>
        <w:rPr>
          <w:rFonts w:ascii="Arial" w:cs="Arial" w:eastAsia="Arial" w:hAnsi="Arial"/>
          <w:sz w:val="14"/>
          <w:szCs w:val="14"/>
          <w:color w:val="231F20"/>
        </w:rPr>
        <w:t>ÄÒÏÄÒ~Ü</w:t>
      </w:r>
      <w:r>
        <w:rPr>
          <w:rFonts w:ascii="PMingLiU" w:cs="PMingLiU" w:eastAsia="PMingLiU" w:hAnsi="PMingLiU"/>
          <w:sz w:val="14"/>
          <w:szCs w:val="14"/>
          <w:color w:val="231F20"/>
        </w:rPr>
        <w:t></w:t>
      </w:r>
      <w:r>
        <w:rPr>
          <w:rFonts w:ascii="Arial" w:cs="Arial" w:eastAsia="Arial" w:hAnsi="Arial"/>
          <w:sz w:val="14"/>
          <w:szCs w:val="14"/>
          <w:color w:val="231F20"/>
        </w:rPr>
        <w:t>ŁE ĝ</w:t>
      </w:r>
      <w:r>
        <w:rPr>
          <w:rFonts w:ascii="PMingLiU" w:cs="PMingLiU" w:eastAsia="PMingLiU" w:hAnsi="PMingLiU"/>
          <w:sz w:val="14"/>
          <w:szCs w:val="14"/>
          <w:color w:val="231F20"/>
        </w:rPr>
        <w:t></w:t>
      </w:r>
      <w:r>
        <w:rPr>
          <w:rFonts w:ascii="Arial" w:cs="Arial" w:eastAsia="Arial" w:hAnsi="Arial"/>
          <w:sz w:val="14"/>
          <w:szCs w:val="14"/>
          <w:color w:val="231F20"/>
        </w:rPr>
        <w:t xml:space="preserve">ń </w:t>
      </w:r>
      <w:r>
        <w:rPr>
          <w:rFonts w:ascii="Arial" w:cs="Arial" w:eastAsia="Arial" w:hAnsi="Arial"/>
          <w:sz w:val="14"/>
          <w:szCs w:val="14"/>
          <w:color w:val="231F20"/>
        </w:rPr>
        <w:t xml:space="preserve">These materials are also available in the EDGAR database at </w:t>
      </w:r>
      <w:r>
        <w:rPr>
          <w:rFonts w:ascii="Arial" w:cs="Arial" w:eastAsia="Arial" w:hAnsi="Arial"/>
          <w:sz w:val="14"/>
          <w:szCs w:val="14"/>
          <w:b w:val="1"/>
          <w:bCs w:val="1"/>
          <w:color w:val="089BD1"/>
        </w:rPr>
        <w:t>www.sec.gov,</w:t>
      </w:r>
      <w:r>
        <w:rPr>
          <w:rFonts w:ascii="Arial" w:cs="Arial" w:eastAsia="Arial" w:hAnsi="Arial"/>
          <w:sz w:val="14"/>
          <w:szCs w:val="14"/>
          <w:color w:val="231F20"/>
        </w:rPr>
        <w:t xml:space="preserve"> the website for the Securities and Exchange Commission, as well as the company's website </w:t>
      </w:r>
      <w:r>
        <w:rPr>
          <w:rFonts w:ascii="Arial" w:cs="Arial" w:eastAsia="Arial" w:hAnsi="Arial"/>
          <w:sz w:val="14"/>
          <w:szCs w:val="14"/>
          <w:b w:val="1"/>
          <w:bCs w:val="1"/>
          <w:color w:val="089BD1"/>
        </w:rPr>
        <w:t>www.mastechdigital.com,</w:t>
      </w:r>
      <w:r>
        <w:rPr>
          <w:rFonts w:ascii="Arial" w:cs="Arial" w:eastAsia="Arial" w:hAnsi="Arial"/>
          <w:sz w:val="14"/>
          <w:szCs w:val="14"/>
          <w:color w:val="231F20"/>
        </w:rPr>
        <w:t xml:space="preserve"> in the Investors section.</w:t>
      </w:r>
    </w:p>
    <w:p>
      <w:pPr>
        <w:spacing w:after="0" w:line="230" w:lineRule="exact"/>
        <w:rPr>
          <w:sz w:val="20"/>
          <w:szCs w:val="20"/>
          <w:color w:val="auto"/>
        </w:rPr>
      </w:pPr>
    </w:p>
    <w:p>
      <w:pPr>
        <w:ind w:left="20"/>
        <w:spacing w:after="0" w:line="243" w:lineRule="exact"/>
        <w:rPr>
          <w:sz w:val="20"/>
          <w:szCs w:val="20"/>
          <w:color w:val="auto"/>
        </w:rPr>
      </w:pPr>
      <w:r>
        <w:rPr>
          <w:rFonts w:ascii="Arial" w:cs="Arial" w:eastAsia="Arial" w:hAnsi="Arial"/>
          <w:sz w:val="20"/>
          <w:szCs w:val="20"/>
          <w:color w:val="231F20"/>
        </w:rPr>
        <w:t>*¾</w:t>
      </w:r>
      <w:r>
        <w:rPr>
          <w:rFonts w:ascii="PMingLiU" w:cs="PMingLiU" w:eastAsia="PMingLiU" w:hAnsi="PMingLiU"/>
          <w:sz w:val="20"/>
          <w:szCs w:val="20"/>
          <w:color w:val="231F20"/>
        </w:rPr>
        <w:t></w:t>
      </w:r>
      <w:r>
        <w:rPr>
          <w:rFonts w:ascii="Arial" w:cs="Arial" w:eastAsia="Arial" w:hAnsi="Arial"/>
          <w:sz w:val="20"/>
          <w:szCs w:val="20"/>
          <w:color w:val="231F20"/>
        </w:rPr>
        <w:t>Ï</w:t>
      </w:r>
      <w:r>
        <w:rPr>
          <w:rFonts w:ascii="PMingLiU" w:cs="PMingLiU" w:eastAsia="PMingLiU" w:hAnsi="PMingLiU"/>
          <w:sz w:val="20"/>
          <w:szCs w:val="20"/>
          <w:color w:val="231F20"/>
        </w:rPr>
        <w:t></w:t>
      </w:r>
      <w:r>
        <w:rPr>
          <w:rFonts w:ascii="Arial" w:cs="Arial" w:eastAsia="Arial" w:hAnsi="Arial"/>
          <w:sz w:val="20"/>
          <w:szCs w:val="20"/>
          <w:color w:val="231F20"/>
        </w:rPr>
        <w:t>¾</w:t>
      </w:r>
      <w:r>
        <w:rPr>
          <w:rFonts w:ascii="PMingLiU" w:cs="PMingLiU" w:eastAsia="PMingLiU" w:hAnsi="PMingLiU"/>
          <w:sz w:val="20"/>
          <w:szCs w:val="20"/>
          <w:color w:val="231F20"/>
        </w:rPr>
        <w:t></w:t>
      </w:r>
      <w:r>
        <w:rPr>
          <w:rFonts w:ascii="Arial" w:cs="Arial" w:eastAsia="Arial" w:hAnsi="Arial"/>
          <w:sz w:val="20"/>
          <w:szCs w:val="20"/>
          <w:color w:val="231F20"/>
        </w:rPr>
        <w:t>¾ÜŁS</w:t>
      </w:r>
      <w:r>
        <w:rPr>
          <w:rFonts w:ascii="PMingLiU" w:cs="PMingLiU" w:eastAsia="PMingLiU" w:hAnsi="PMingLiU"/>
          <w:sz w:val="20"/>
          <w:szCs w:val="20"/>
          <w:color w:val="231F20"/>
        </w:rPr>
        <w:t></w:t>
      </w:r>
      <w:r>
        <w:rPr>
          <w:rFonts w:ascii="Arial" w:cs="Arial" w:eastAsia="Arial" w:hAnsi="Arial"/>
          <w:sz w:val="20"/>
          <w:szCs w:val="20"/>
          <w:color w:val="231F20"/>
        </w:rPr>
        <w:t>¡§ÖÜ</w:t>
      </w:r>
      <w:r>
        <w:rPr>
          <w:rFonts w:ascii="PMingLiU" w:cs="PMingLiU" w:eastAsia="PMingLiU" w:hAnsi="PMingLiU"/>
          <w:sz w:val="20"/>
          <w:szCs w:val="20"/>
          <w:color w:val="231F20"/>
        </w:rPr>
        <w:t></w:t>
      </w:r>
      <w:r>
        <w:rPr>
          <w:rFonts w:ascii="Arial" w:cs="Arial" w:eastAsia="Arial" w:hAnsi="Arial"/>
          <w:sz w:val="20"/>
          <w:szCs w:val="20"/>
          <w:color w:val="231F20"/>
        </w:rPr>
        <w:t>Ò</w:t>
      </w:r>
      <w:r>
        <w:rPr>
          <w:rFonts w:ascii="PMingLiU" w:cs="PMingLiU" w:eastAsia="PMingLiU" w:hAnsi="PMingLiU"/>
          <w:sz w:val="20"/>
          <w:szCs w:val="20"/>
          <w:color w:val="231F20"/>
        </w:rPr>
        <w:t></w:t>
      </w:r>
      <w:r>
        <w:rPr>
          <w:rFonts w:ascii="Arial" w:cs="Arial" w:eastAsia="Arial" w:hAnsi="Arial"/>
          <w:sz w:val="20"/>
          <w:szCs w:val="20"/>
          <w:color w:val="231F20"/>
        </w:rPr>
        <w:t>ŁPà</w:t>
      </w:r>
      <w:r>
        <w:rPr>
          <w:rFonts w:ascii="PMingLiU" w:cs="PMingLiU" w:eastAsia="PMingLiU" w:hAnsi="PMingLiU"/>
          <w:sz w:val="20"/>
          <w:szCs w:val="20"/>
          <w:color w:val="231F20"/>
        </w:rPr>
        <w:t></w:t>
      </w:r>
      <w:r>
        <w:rPr>
          <w:rFonts w:ascii="Arial" w:cs="Arial" w:eastAsia="Arial" w:hAnsi="Arial"/>
          <w:sz w:val="20"/>
          <w:szCs w:val="20"/>
          <w:color w:val="231F20"/>
        </w:rPr>
        <w:t>·§</w:t>
      </w:r>
      <w:r>
        <w:rPr>
          <w:rFonts w:ascii="PMingLiU" w:cs="PMingLiU" w:eastAsia="PMingLiU" w:hAnsi="PMingLiU"/>
          <w:sz w:val="20"/>
          <w:szCs w:val="20"/>
          <w:color w:val="231F20"/>
        </w:rPr>
        <w:t></w:t>
      </w:r>
      <w:r>
        <w:rPr>
          <w:rFonts w:ascii="Arial" w:cs="Arial" w:eastAsia="Arial" w:hAnsi="Arial"/>
          <w:sz w:val="20"/>
          <w:szCs w:val="20"/>
          <w:color w:val="231F20"/>
        </w:rPr>
        <w:t>Ł</w:t>
      </w:r>
      <w:r>
        <w:rPr>
          <w:rFonts w:ascii="PMingLiU" w:cs="PMingLiU" w:eastAsia="PMingLiU" w:hAnsi="PMingLiU"/>
          <w:sz w:val="20"/>
          <w:szCs w:val="20"/>
          <w:color w:val="231F20"/>
        </w:rPr>
        <w:t></w:t>
      </w:r>
      <w:r>
        <w:rPr>
          <w:rFonts w:ascii="Arial" w:cs="Arial" w:eastAsia="Arial" w:hAnsi="Arial"/>
          <w:sz w:val="20"/>
          <w:szCs w:val="20"/>
          <w:color w:val="231F20"/>
        </w:rPr>
        <w:t>Äà¾Ü§¾¡Ł#§Ò½</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231F20"/>
        </w:rPr>
        <w:t>UHY LLP, Farmington Hills, MI</w:t>
      </w:r>
    </w:p>
    <w:p>
      <w:pPr>
        <w:spacing w:after="0" w:line="253" w:lineRule="exact"/>
        <w:rPr>
          <w:sz w:val="20"/>
          <w:szCs w:val="20"/>
          <w:color w:val="auto"/>
        </w:rPr>
      </w:pPr>
    </w:p>
    <w:p>
      <w:pPr>
        <w:ind w:left="20"/>
        <w:spacing w:after="0" w:line="243" w:lineRule="exact"/>
        <w:rPr>
          <w:sz w:val="20"/>
          <w:szCs w:val="20"/>
          <w:color w:val="auto"/>
        </w:rPr>
      </w:pPr>
      <w:r>
        <w:rPr>
          <w:rFonts w:ascii="Arial" w:cs="Arial" w:eastAsia="Arial" w:hAnsi="Arial"/>
          <w:sz w:val="20"/>
          <w:szCs w:val="20"/>
          <w:color w:val="231F20"/>
        </w:rPr>
        <w:t>WÜÄ</w:t>
      </w:r>
      <w:r>
        <w:rPr>
          <w:rFonts w:ascii="PMingLiU" w:cs="PMingLiU" w:eastAsia="PMingLiU" w:hAnsi="PMingLiU"/>
          <w:sz w:val="20"/>
          <w:szCs w:val="20"/>
          <w:color w:val="231F20"/>
        </w:rPr>
        <w:t></w:t>
      </w:r>
      <w:r>
        <w:rPr>
          <w:rFonts w:ascii="Arial" w:cs="Arial" w:eastAsia="Arial" w:hAnsi="Arial"/>
          <w:sz w:val="20"/>
          <w:szCs w:val="20"/>
          <w:color w:val="231F20"/>
        </w:rPr>
        <w:t>µŁ&gt;~Òµ</w:t>
      </w:r>
      <w:r>
        <w:rPr>
          <w:rFonts w:ascii="PMingLiU" w:cs="PMingLiU" w:eastAsia="PMingLiU" w:hAnsi="PMingLiU"/>
          <w:sz w:val="20"/>
          <w:szCs w:val="20"/>
          <w:color w:val="231F20"/>
        </w:rPr>
        <w:t></w:t>
      </w:r>
      <w:r>
        <w:rPr>
          <w:rFonts w:ascii="Arial" w:cs="Arial" w:eastAsia="Arial" w:hAnsi="Arial"/>
          <w:sz w:val="20"/>
          <w:szCs w:val="20"/>
          <w:color w:val="231F20"/>
        </w:rPr>
        <w:t>ÜŁ*¾ ÄÒ½~Ü§Ä¾</w:t>
      </w:r>
    </w:p>
    <w:p>
      <w:pPr>
        <w:spacing w:after="0" w:line="57" w:lineRule="exact"/>
        <w:rPr>
          <w:sz w:val="20"/>
          <w:szCs w:val="20"/>
          <w:color w:val="auto"/>
        </w:rPr>
      </w:pPr>
    </w:p>
    <w:p>
      <w:pPr>
        <w:ind w:left="20" w:right="2980"/>
        <w:spacing w:after="0" w:line="238" w:lineRule="exact"/>
        <w:rPr>
          <w:sz w:val="20"/>
          <w:szCs w:val="20"/>
          <w:color w:val="auto"/>
        </w:rPr>
      </w:pPr>
      <w:r>
        <w:rPr>
          <w:rFonts w:ascii="Arial" w:cs="Arial" w:eastAsia="Arial" w:hAnsi="Arial"/>
          <w:sz w:val="18"/>
          <w:szCs w:val="18"/>
          <w:color w:val="231F20"/>
        </w:rPr>
        <w:t xml:space="preserve">The company’s common stock trades on the NYSE American under the symbol MHH. The table below sets forth the high and low closing bid prices for the last two completed </w:t>
      </w:r>
      <w:r>
        <w:rPr>
          <w:rFonts w:ascii="Arial" w:cs="Arial" w:eastAsia="Arial" w:hAnsi="Arial"/>
          <w:sz w:val="18"/>
          <w:szCs w:val="18"/>
          <w:color w:val="231F20"/>
        </w:rPr>
        <w:t>ĝÖ</w:t>
      </w:r>
      <w:r>
        <w:rPr>
          <w:rFonts w:ascii="PMingLiU" w:cs="PMingLiU" w:eastAsia="PMingLiU" w:hAnsi="PMingLiU"/>
          <w:sz w:val="18"/>
          <w:szCs w:val="18"/>
          <w:color w:val="231F20"/>
        </w:rPr>
        <w:t></w:t>
      </w:r>
      <w:r>
        <w:rPr>
          <w:rFonts w:ascii="Arial" w:cs="Arial" w:eastAsia="Arial" w:hAnsi="Arial"/>
          <w:sz w:val="18"/>
          <w:szCs w:val="18"/>
          <w:color w:val="231F20"/>
        </w:rPr>
        <w:t>~·Łò</w:t>
      </w:r>
      <w:r>
        <w:rPr>
          <w:rFonts w:ascii="PMingLiU" w:cs="PMingLiU" w:eastAsia="PMingLiU" w:hAnsi="PMingLiU"/>
          <w:sz w:val="18"/>
          <w:szCs w:val="18"/>
          <w:color w:val="231F20"/>
        </w:rPr>
        <w:t></w:t>
      </w:r>
      <w:r>
        <w:rPr>
          <w:rFonts w:ascii="Arial" w:cs="Arial" w:eastAsia="Arial" w:hAnsi="Arial"/>
          <w:sz w:val="18"/>
          <w:szCs w:val="18"/>
          <w:color w:val="231F20"/>
        </w:rPr>
        <w:t>~ÒÖń</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302"/>
        </w:trPr>
        <w:tc>
          <w:tcPr>
            <w:tcW w:w="3460" w:type="dxa"/>
            <w:vAlign w:val="bottom"/>
            <w:shd w:val="clear" w:color="auto" w:fill="10568C"/>
          </w:tcPr>
          <w:p>
            <w:pPr>
              <w:ind w:left="200"/>
              <w:spacing w:after="0" w:line="243" w:lineRule="exact"/>
              <w:rPr>
                <w:sz w:val="20"/>
                <w:szCs w:val="20"/>
                <w:color w:val="auto"/>
              </w:rPr>
            </w:pPr>
            <w:r>
              <w:rPr>
                <w:rFonts w:ascii="PMingLiU" w:cs="PMingLiU" w:eastAsia="PMingLiU" w:hAnsi="PMingLiU"/>
                <w:sz w:val="20"/>
                <w:szCs w:val="20"/>
                <w:color w:val="FFFFFF"/>
                <w:w w:val="94"/>
              </w:rPr>
              <w:t/>
            </w:r>
            <w:r>
              <w:rPr>
                <w:rFonts w:ascii="Arial" w:cs="Arial" w:eastAsia="Arial" w:hAnsi="Arial"/>
                <w:sz w:val="20"/>
                <w:szCs w:val="20"/>
                <w:color w:val="FFFFFF"/>
                <w:w w:val="94"/>
              </w:rPr>
              <w:t>Ä½½Ä¾ŁWÜÄ</w:t>
            </w:r>
            <w:r>
              <w:rPr>
                <w:rFonts w:ascii="PMingLiU" w:cs="PMingLiU" w:eastAsia="PMingLiU" w:hAnsi="PMingLiU"/>
                <w:sz w:val="20"/>
                <w:szCs w:val="20"/>
                <w:color w:val="FFFFFF"/>
                <w:w w:val="94"/>
              </w:rPr>
              <w:t></w:t>
            </w:r>
            <w:r>
              <w:rPr>
                <w:rFonts w:ascii="Arial" w:cs="Arial" w:eastAsia="Arial" w:hAnsi="Arial"/>
                <w:sz w:val="20"/>
                <w:szCs w:val="20"/>
                <w:color w:val="FFFFFF"/>
                <w:w w:val="94"/>
              </w:rPr>
              <w:t>µŁ&gt;~Òµ</w:t>
            </w:r>
            <w:r>
              <w:rPr>
                <w:rFonts w:ascii="PMingLiU" w:cs="PMingLiU" w:eastAsia="PMingLiU" w:hAnsi="PMingLiU"/>
                <w:sz w:val="20"/>
                <w:szCs w:val="20"/>
                <w:color w:val="FFFFFF"/>
                <w:w w:val="94"/>
              </w:rPr>
              <w:t></w:t>
            </w:r>
            <w:r>
              <w:rPr>
                <w:rFonts w:ascii="Arial" w:cs="Arial" w:eastAsia="Arial" w:hAnsi="Arial"/>
                <w:sz w:val="20"/>
                <w:szCs w:val="20"/>
                <w:color w:val="FFFFFF"/>
                <w:w w:val="94"/>
              </w:rPr>
              <w:t>ÜŁPÒ§</w:t>
            </w:r>
            <w:r>
              <w:rPr>
                <w:rFonts w:ascii="PMingLiU" w:cs="PMingLiU" w:eastAsia="PMingLiU" w:hAnsi="PMingLiU"/>
                <w:sz w:val="20"/>
                <w:szCs w:val="20"/>
                <w:color w:val="FFFFFF"/>
                <w:w w:val="94"/>
              </w:rPr>
              <w:t></w:t>
            </w:r>
            <w:r>
              <w:rPr>
                <w:rFonts w:ascii="Arial" w:cs="Arial" w:eastAsia="Arial" w:hAnsi="Arial"/>
                <w:sz w:val="20"/>
                <w:szCs w:val="20"/>
                <w:color w:val="FFFFFF"/>
                <w:w w:val="94"/>
              </w:rPr>
              <w:t>Ł  Ł</w:t>
            </w:r>
          </w:p>
        </w:tc>
        <w:tc>
          <w:tcPr>
            <w:tcW w:w="1440" w:type="dxa"/>
            <w:vAlign w:val="bottom"/>
            <w:shd w:val="clear" w:color="auto" w:fill="10568C"/>
          </w:tcPr>
          <w:p>
            <w:pPr>
              <w:ind w:left="340"/>
              <w:spacing w:after="0"/>
              <w:rPr>
                <w:sz w:val="20"/>
                <w:szCs w:val="20"/>
                <w:color w:val="auto"/>
              </w:rPr>
            </w:pPr>
            <w:r>
              <w:rPr>
                <w:rFonts w:ascii="Arial" w:cs="Arial" w:eastAsia="Arial" w:hAnsi="Arial"/>
                <w:sz w:val="20"/>
                <w:szCs w:val="20"/>
                <w:color w:val="FFFFFF"/>
              </w:rPr>
              <w:t>(§¡¥Ł  Ł</w:t>
            </w:r>
          </w:p>
        </w:tc>
        <w:tc>
          <w:tcPr>
            <w:tcW w:w="720" w:type="dxa"/>
            <w:vAlign w:val="bottom"/>
            <w:shd w:val="clear" w:color="auto" w:fill="10568C"/>
          </w:tcPr>
          <w:p>
            <w:pPr>
              <w:ind w:left="340"/>
              <w:spacing w:after="0"/>
              <w:rPr>
                <w:sz w:val="20"/>
                <w:szCs w:val="20"/>
                <w:color w:val="auto"/>
              </w:rPr>
            </w:pPr>
            <w:r>
              <w:rPr>
                <w:rFonts w:ascii="Arial" w:cs="Arial" w:eastAsia="Arial" w:hAnsi="Arial"/>
                <w:sz w:val="20"/>
                <w:szCs w:val="20"/>
                <w:color w:val="FFFFFF"/>
              </w:rPr>
              <w:t>Ł</w:t>
            </w:r>
          </w:p>
        </w:tc>
        <w:tc>
          <w:tcPr>
            <w:tcW w:w="1580" w:type="dxa"/>
            <w:vAlign w:val="bottom"/>
            <w:gridSpan w:val="2"/>
            <w:shd w:val="clear" w:color="auto" w:fill="10568C"/>
          </w:tcPr>
          <w:p>
            <w:pPr>
              <w:ind w:left="340"/>
              <w:spacing w:after="0"/>
              <w:rPr>
                <w:sz w:val="20"/>
                <w:szCs w:val="20"/>
                <w:color w:val="auto"/>
              </w:rPr>
            </w:pPr>
            <w:r>
              <w:rPr>
                <w:rFonts w:ascii="Arial" w:cs="Arial" w:eastAsia="Arial" w:hAnsi="Arial"/>
                <w:sz w:val="20"/>
                <w:szCs w:val="20"/>
                <w:color w:val="FFFFFF"/>
              </w:rPr>
              <w:t>8Äì</w:t>
            </w:r>
          </w:p>
        </w:tc>
      </w:tr>
      <w:tr>
        <w:trPr>
          <w:trHeight w:val="61"/>
        </w:trPr>
        <w:tc>
          <w:tcPr>
            <w:tcW w:w="3460" w:type="dxa"/>
            <w:vAlign w:val="bottom"/>
            <w:shd w:val="clear" w:color="auto" w:fill="10568C"/>
          </w:tcPr>
          <w:p>
            <w:pPr>
              <w:spacing w:after="0"/>
              <w:rPr>
                <w:sz w:val="5"/>
                <w:szCs w:val="5"/>
                <w:color w:val="auto"/>
              </w:rPr>
            </w:pPr>
          </w:p>
        </w:tc>
        <w:tc>
          <w:tcPr>
            <w:tcW w:w="1440" w:type="dxa"/>
            <w:vAlign w:val="bottom"/>
            <w:shd w:val="clear" w:color="auto" w:fill="10568C"/>
          </w:tcPr>
          <w:p>
            <w:pPr>
              <w:spacing w:after="0"/>
              <w:rPr>
                <w:sz w:val="5"/>
                <w:szCs w:val="5"/>
                <w:color w:val="auto"/>
              </w:rPr>
            </w:pPr>
          </w:p>
        </w:tc>
        <w:tc>
          <w:tcPr>
            <w:tcW w:w="720" w:type="dxa"/>
            <w:vAlign w:val="bottom"/>
            <w:shd w:val="clear" w:color="auto" w:fill="10568C"/>
          </w:tcPr>
          <w:p>
            <w:pPr>
              <w:spacing w:after="0"/>
              <w:rPr>
                <w:sz w:val="5"/>
                <w:szCs w:val="5"/>
                <w:color w:val="auto"/>
              </w:rPr>
            </w:pPr>
          </w:p>
        </w:tc>
        <w:tc>
          <w:tcPr>
            <w:tcW w:w="460" w:type="dxa"/>
            <w:vAlign w:val="bottom"/>
            <w:shd w:val="clear" w:color="auto" w:fill="10568C"/>
          </w:tcPr>
          <w:p>
            <w:pPr>
              <w:spacing w:after="0"/>
              <w:rPr>
                <w:sz w:val="5"/>
                <w:szCs w:val="5"/>
                <w:color w:val="auto"/>
              </w:rPr>
            </w:pPr>
          </w:p>
        </w:tc>
        <w:tc>
          <w:tcPr>
            <w:tcW w:w="1120" w:type="dxa"/>
            <w:vAlign w:val="bottom"/>
            <w:shd w:val="clear" w:color="auto" w:fill="10568C"/>
          </w:tcPr>
          <w:p>
            <w:pPr>
              <w:spacing w:after="0"/>
              <w:rPr>
                <w:sz w:val="5"/>
                <w:szCs w:val="5"/>
                <w:color w:val="auto"/>
              </w:rPr>
            </w:pPr>
          </w:p>
        </w:tc>
      </w:tr>
      <w:tr>
        <w:trPr>
          <w:trHeight w:val="71"/>
        </w:trPr>
        <w:tc>
          <w:tcPr>
            <w:tcW w:w="34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61"/>
        </w:trPr>
        <w:tc>
          <w:tcPr>
            <w:tcW w:w="3460" w:type="dxa"/>
            <w:vAlign w:val="bottom"/>
            <w:tcBorders>
              <w:bottom w:val="single" w:sz="8" w:color="D9E9F8"/>
            </w:tcBorders>
            <w:shd w:val="clear" w:color="auto" w:fill="D9E9F8"/>
          </w:tcPr>
          <w:p>
            <w:pPr>
              <w:ind w:left="200"/>
              <w:spacing w:after="0"/>
              <w:rPr>
                <w:sz w:val="20"/>
                <w:szCs w:val="20"/>
                <w:color w:val="auto"/>
              </w:rPr>
            </w:pPr>
            <w:r>
              <w:rPr>
                <w:rFonts w:ascii="Arial" w:cs="Arial" w:eastAsia="Arial" w:hAnsi="Arial"/>
                <w:sz w:val="18"/>
                <w:szCs w:val="18"/>
                <w:color w:val="231F20"/>
              </w:rPr>
              <w:t>2025</w:t>
            </w:r>
          </w:p>
        </w:tc>
        <w:tc>
          <w:tcPr>
            <w:tcW w:w="1440" w:type="dxa"/>
            <w:vAlign w:val="bottom"/>
            <w:tcBorders>
              <w:bottom w:val="single" w:sz="8" w:color="D9E9F8"/>
            </w:tcBorders>
            <w:shd w:val="clear" w:color="auto" w:fill="D9E9F8"/>
          </w:tcPr>
          <w:p>
            <w:pPr>
              <w:spacing w:after="0"/>
              <w:rPr>
                <w:sz w:val="22"/>
                <w:szCs w:val="22"/>
                <w:color w:val="auto"/>
              </w:rPr>
            </w:pPr>
          </w:p>
        </w:tc>
        <w:tc>
          <w:tcPr>
            <w:tcW w:w="720" w:type="dxa"/>
            <w:vAlign w:val="bottom"/>
            <w:tcBorders>
              <w:bottom w:val="single" w:sz="8" w:color="D9E9F8"/>
            </w:tcBorders>
            <w:shd w:val="clear" w:color="auto" w:fill="D9E9F8"/>
          </w:tcPr>
          <w:p>
            <w:pPr>
              <w:spacing w:after="0"/>
              <w:rPr>
                <w:sz w:val="22"/>
                <w:szCs w:val="22"/>
                <w:color w:val="auto"/>
              </w:rPr>
            </w:pPr>
          </w:p>
        </w:tc>
        <w:tc>
          <w:tcPr>
            <w:tcW w:w="460" w:type="dxa"/>
            <w:vAlign w:val="bottom"/>
            <w:tcBorders>
              <w:bottom w:val="single" w:sz="8" w:color="D9E9F8"/>
            </w:tcBorders>
            <w:shd w:val="clear" w:color="auto" w:fill="D9E9F8"/>
          </w:tcPr>
          <w:p>
            <w:pPr>
              <w:spacing w:after="0"/>
              <w:rPr>
                <w:sz w:val="22"/>
                <w:szCs w:val="22"/>
                <w:color w:val="auto"/>
              </w:rPr>
            </w:pPr>
          </w:p>
        </w:tc>
        <w:tc>
          <w:tcPr>
            <w:tcW w:w="1120" w:type="dxa"/>
            <w:vAlign w:val="bottom"/>
            <w:tcBorders>
              <w:bottom w:val="single" w:sz="8" w:color="D9E9F8"/>
            </w:tcBorders>
            <w:shd w:val="clear" w:color="auto" w:fill="D9E9F8"/>
          </w:tcPr>
          <w:p>
            <w:pPr>
              <w:spacing w:after="0"/>
              <w:rPr>
                <w:sz w:val="22"/>
                <w:szCs w:val="22"/>
                <w:color w:val="auto"/>
              </w:rPr>
            </w:pPr>
          </w:p>
        </w:tc>
      </w:tr>
      <w:tr>
        <w:trPr>
          <w:trHeight w:val="223"/>
        </w:trPr>
        <w:tc>
          <w:tcPr>
            <w:tcW w:w="3460" w:type="dxa"/>
            <w:vAlign w:val="bottom"/>
          </w:tcPr>
          <w:p>
            <w:pPr>
              <w:ind w:left="200"/>
              <w:spacing w:after="0"/>
              <w:rPr>
                <w:sz w:val="20"/>
                <w:szCs w:val="20"/>
                <w:color w:val="auto"/>
              </w:rPr>
            </w:pPr>
            <w:r>
              <w:rPr>
                <w:rFonts w:ascii="Arial" w:cs="Arial" w:eastAsia="Arial" w:hAnsi="Arial"/>
                <w:sz w:val="16"/>
                <w:szCs w:val="16"/>
                <w:color w:val="231F20"/>
              </w:rPr>
              <w:t>Fourth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$ 8.37</w:t>
            </w:r>
          </w:p>
        </w:tc>
        <w:tc>
          <w:tcPr>
            <w:tcW w:w="720" w:type="dxa"/>
            <w:vAlign w:val="bottom"/>
          </w:tcPr>
          <w:p>
            <w:pPr>
              <w:spacing w:after="0"/>
              <w:rPr>
                <w:sz w:val="19"/>
                <w:szCs w:val="19"/>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6.59</w:t>
            </w:r>
          </w:p>
        </w:tc>
      </w:tr>
      <w:tr>
        <w:trPr>
          <w:trHeight w:val="37"/>
        </w:trPr>
        <w:tc>
          <w:tcPr>
            <w:tcW w:w="3460" w:type="dxa"/>
            <w:vAlign w:val="bottom"/>
            <w:tcBorders>
              <w:bottom w:val="single" w:sz="8" w:color="E5E5E4"/>
            </w:tcBorders>
          </w:tcPr>
          <w:p>
            <w:pPr>
              <w:spacing w:after="0"/>
              <w:rPr>
                <w:sz w:val="3"/>
                <w:szCs w:val="3"/>
                <w:color w:val="auto"/>
              </w:rPr>
            </w:pPr>
          </w:p>
        </w:tc>
        <w:tc>
          <w:tcPr>
            <w:tcW w:w="1440" w:type="dxa"/>
            <w:vAlign w:val="bottom"/>
            <w:tcBorders>
              <w:bottom w:val="single" w:sz="8" w:color="E5E5E4"/>
            </w:tcBorders>
          </w:tcPr>
          <w:p>
            <w:pPr>
              <w:spacing w:after="0"/>
              <w:rPr>
                <w:sz w:val="3"/>
                <w:szCs w:val="3"/>
                <w:color w:val="auto"/>
              </w:rPr>
            </w:pPr>
          </w:p>
        </w:tc>
        <w:tc>
          <w:tcPr>
            <w:tcW w:w="720" w:type="dxa"/>
            <w:vAlign w:val="bottom"/>
            <w:tcBorders>
              <w:bottom w:val="single" w:sz="8" w:color="E5E5E4"/>
            </w:tcBorders>
          </w:tcPr>
          <w:p>
            <w:pPr>
              <w:spacing w:after="0"/>
              <w:rPr>
                <w:sz w:val="3"/>
                <w:szCs w:val="3"/>
                <w:color w:val="auto"/>
              </w:rPr>
            </w:pPr>
          </w:p>
        </w:tc>
        <w:tc>
          <w:tcPr>
            <w:tcW w:w="460" w:type="dxa"/>
            <w:vAlign w:val="bottom"/>
            <w:tcBorders>
              <w:bottom w:val="single" w:sz="8" w:color="E5E5E4"/>
            </w:tcBorders>
          </w:tcPr>
          <w:p>
            <w:pPr>
              <w:spacing w:after="0"/>
              <w:rPr>
                <w:sz w:val="3"/>
                <w:szCs w:val="3"/>
                <w:color w:val="auto"/>
              </w:rPr>
            </w:pPr>
          </w:p>
        </w:tc>
        <w:tc>
          <w:tcPr>
            <w:tcW w:w="1120" w:type="dxa"/>
            <w:vAlign w:val="bottom"/>
            <w:tcBorders>
              <w:bottom w:val="single" w:sz="8" w:color="E5E5E4"/>
            </w:tcBorders>
          </w:tcPr>
          <w:p>
            <w:pPr>
              <w:spacing w:after="0"/>
              <w:rPr>
                <w:sz w:val="3"/>
                <w:szCs w:val="3"/>
                <w:color w:val="auto"/>
              </w:rPr>
            </w:pPr>
          </w:p>
        </w:tc>
      </w:tr>
      <w:tr>
        <w:trPr>
          <w:trHeight w:val="211"/>
        </w:trPr>
        <w:tc>
          <w:tcPr>
            <w:tcW w:w="3460" w:type="dxa"/>
            <w:vAlign w:val="bottom"/>
          </w:tcPr>
          <w:p>
            <w:pPr>
              <w:ind w:left="200"/>
              <w:spacing w:after="0"/>
              <w:rPr>
                <w:sz w:val="20"/>
                <w:szCs w:val="20"/>
                <w:color w:val="auto"/>
              </w:rPr>
            </w:pPr>
            <w:r>
              <w:rPr>
                <w:rFonts w:ascii="Arial" w:cs="Arial" w:eastAsia="Arial" w:hAnsi="Arial"/>
                <w:sz w:val="16"/>
                <w:szCs w:val="16"/>
                <w:color w:val="231F20"/>
              </w:rPr>
              <w:t>Third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$ 8.37</w:t>
            </w:r>
          </w:p>
        </w:tc>
        <w:tc>
          <w:tcPr>
            <w:tcW w:w="72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6.58</w:t>
            </w:r>
          </w:p>
        </w:tc>
      </w:tr>
      <w:tr>
        <w:trPr>
          <w:trHeight w:val="36"/>
        </w:trPr>
        <w:tc>
          <w:tcPr>
            <w:tcW w:w="3460" w:type="dxa"/>
            <w:vAlign w:val="bottom"/>
            <w:tcBorders>
              <w:bottom w:val="single" w:sz="8" w:color="E5E5E4"/>
            </w:tcBorders>
          </w:tcPr>
          <w:p>
            <w:pPr>
              <w:spacing w:after="0"/>
              <w:rPr>
                <w:sz w:val="3"/>
                <w:szCs w:val="3"/>
                <w:color w:val="auto"/>
              </w:rPr>
            </w:pPr>
          </w:p>
        </w:tc>
        <w:tc>
          <w:tcPr>
            <w:tcW w:w="1440" w:type="dxa"/>
            <w:vAlign w:val="bottom"/>
            <w:tcBorders>
              <w:bottom w:val="single" w:sz="8" w:color="E5E5E4"/>
            </w:tcBorders>
          </w:tcPr>
          <w:p>
            <w:pPr>
              <w:spacing w:after="0"/>
              <w:rPr>
                <w:sz w:val="3"/>
                <w:szCs w:val="3"/>
                <w:color w:val="auto"/>
              </w:rPr>
            </w:pPr>
          </w:p>
        </w:tc>
        <w:tc>
          <w:tcPr>
            <w:tcW w:w="720" w:type="dxa"/>
            <w:vAlign w:val="bottom"/>
            <w:tcBorders>
              <w:bottom w:val="single" w:sz="8" w:color="E5E5E4"/>
            </w:tcBorders>
          </w:tcPr>
          <w:p>
            <w:pPr>
              <w:spacing w:after="0"/>
              <w:rPr>
                <w:sz w:val="3"/>
                <w:szCs w:val="3"/>
                <w:color w:val="auto"/>
              </w:rPr>
            </w:pPr>
          </w:p>
        </w:tc>
        <w:tc>
          <w:tcPr>
            <w:tcW w:w="460" w:type="dxa"/>
            <w:vAlign w:val="bottom"/>
            <w:tcBorders>
              <w:bottom w:val="single" w:sz="8" w:color="E5E5E4"/>
            </w:tcBorders>
          </w:tcPr>
          <w:p>
            <w:pPr>
              <w:spacing w:after="0"/>
              <w:rPr>
                <w:sz w:val="3"/>
                <w:szCs w:val="3"/>
                <w:color w:val="auto"/>
              </w:rPr>
            </w:pPr>
          </w:p>
        </w:tc>
        <w:tc>
          <w:tcPr>
            <w:tcW w:w="1120" w:type="dxa"/>
            <w:vAlign w:val="bottom"/>
            <w:tcBorders>
              <w:bottom w:val="single" w:sz="8" w:color="E5E5E4"/>
            </w:tcBorders>
          </w:tcPr>
          <w:p>
            <w:pPr>
              <w:spacing w:after="0"/>
              <w:rPr>
                <w:sz w:val="3"/>
                <w:szCs w:val="3"/>
                <w:color w:val="auto"/>
              </w:rPr>
            </w:pPr>
          </w:p>
        </w:tc>
      </w:tr>
      <w:tr>
        <w:trPr>
          <w:trHeight w:val="208"/>
        </w:trPr>
        <w:tc>
          <w:tcPr>
            <w:tcW w:w="3460" w:type="dxa"/>
            <w:vAlign w:val="bottom"/>
          </w:tcPr>
          <w:p>
            <w:pPr>
              <w:ind w:left="200"/>
              <w:spacing w:after="0"/>
              <w:rPr>
                <w:sz w:val="20"/>
                <w:szCs w:val="20"/>
                <w:color w:val="auto"/>
              </w:rPr>
            </w:pPr>
            <w:r>
              <w:rPr>
                <w:rFonts w:ascii="Arial" w:cs="Arial" w:eastAsia="Arial" w:hAnsi="Arial"/>
                <w:sz w:val="16"/>
                <w:szCs w:val="16"/>
                <w:color w:val="231F20"/>
              </w:rPr>
              <w:t>Second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$ 10.26</w:t>
            </w:r>
          </w:p>
        </w:tc>
        <w:tc>
          <w:tcPr>
            <w:tcW w:w="72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6.20</w:t>
            </w:r>
          </w:p>
        </w:tc>
      </w:tr>
      <w:tr>
        <w:trPr>
          <w:trHeight w:val="38"/>
        </w:trPr>
        <w:tc>
          <w:tcPr>
            <w:tcW w:w="3460" w:type="dxa"/>
            <w:vAlign w:val="bottom"/>
            <w:tcBorders>
              <w:bottom w:val="single" w:sz="8" w:color="E5E5E4"/>
            </w:tcBorders>
          </w:tcPr>
          <w:p>
            <w:pPr>
              <w:spacing w:after="0"/>
              <w:rPr>
                <w:sz w:val="3"/>
                <w:szCs w:val="3"/>
                <w:color w:val="auto"/>
              </w:rPr>
            </w:pPr>
          </w:p>
        </w:tc>
        <w:tc>
          <w:tcPr>
            <w:tcW w:w="1440" w:type="dxa"/>
            <w:vAlign w:val="bottom"/>
            <w:tcBorders>
              <w:bottom w:val="single" w:sz="8" w:color="E5E5E4"/>
            </w:tcBorders>
          </w:tcPr>
          <w:p>
            <w:pPr>
              <w:spacing w:after="0"/>
              <w:rPr>
                <w:sz w:val="3"/>
                <w:szCs w:val="3"/>
                <w:color w:val="auto"/>
              </w:rPr>
            </w:pPr>
          </w:p>
        </w:tc>
        <w:tc>
          <w:tcPr>
            <w:tcW w:w="720" w:type="dxa"/>
            <w:vAlign w:val="bottom"/>
            <w:tcBorders>
              <w:bottom w:val="single" w:sz="8" w:color="E5E5E4"/>
            </w:tcBorders>
          </w:tcPr>
          <w:p>
            <w:pPr>
              <w:spacing w:after="0"/>
              <w:rPr>
                <w:sz w:val="3"/>
                <w:szCs w:val="3"/>
                <w:color w:val="auto"/>
              </w:rPr>
            </w:pPr>
          </w:p>
        </w:tc>
        <w:tc>
          <w:tcPr>
            <w:tcW w:w="460" w:type="dxa"/>
            <w:vAlign w:val="bottom"/>
            <w:tcBorders>
              <w:bottom w:val="single" w:sz="8" w:color="E5E5E4"/>
            </w:tcBorders>
          </w:tcPr>
          <w:p>
            <w:pPr>
              <w:spacing w:after="0"/>
              <w:rPr>
                <w:sz w:val="3"/>
                <w:szCs w:val="3"/>
                <w:color w:val="auto"/>
              </w:rPr>
            </w:pPr>
          </w:p>
        </w:tc>
        <w:tc>
          <w:tcPr>
            <w:tcW w:w="1120" w:type="dxa"/>
            <w:vAlign w:val="bottom"/>
            <w:tcBorders>
              <w:bottom w:val="single" w:sz="8" w:color="E5E5E4"/>
            </w:tcBorders>
          </w:tcPr>
          <w:p>
            <w:pPr>
              <w:spacing w:after="0"/>
              <w:rPr>
                <w:sz w:val="3"/>
                <w:szCs w:val="3"/>
                <w:color w:val="auto"/>
              </w:rPr>
            </w:pPr>
          </w:p>
        </w:tc>
      </w:tr>
      <w:tr>
        <w:trPr>
          <w:trHeight w:val="213"/>
        </w:trPr>
        <w:tc>
          <w:tcPr>
            <w:tcW w:w="3460" w:type="dxa"/>
            <w:vAlign w:val="bottom"/>
          </w:tcPr>
          <w:p>
            <w:pPr>
              <w:ind w:left="200"/>
              <w:spacing w:after="0"/>
              <w:rPr>
                <w:sz w:val="20"/>
                <w:szCs w:val="20"/>
                <w:color w:val="auto"/>
              </w:rPr>
            </w:pPr>
            <w:r>
              <w:rPr>
                <w:rFonts w:ascii="Arial" w:cs="Arial" w:eastAsia="Arial" w:hAnsi="Arial"/>
                <w:sz w:val="16"/>
                <w:szCs w:val="16"/>
                <w:color w:val="231F20"/>
              </w:rPr>
              <w:t>First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$ 15.74</w:t>
            </w:r>
          </w:p>
        </w:tc>
        <w:tc>
          <w:tcPr>
            <w:tcW w:w="72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8.63</w:t>
            </w:r>
          </w:p>
        </w:tc>
      </w:tr>
      <w:tr>
        <w:trPr>
          <w:trHeight w:val="33"/>
        </w:trPr>
        <w:tc>
          <w:tcPr>
            <w:tcW w:w="3460" w:type="dxa"/>
            <w:vAlign w:val="bottom"/>
            <w:tcBorders>
              <w:bottom w:val="single" w:sz="8" w:color="E5E5E4"/>
            </w:tcBorders>
          </w:tcPr>
          <w:p>
            <w:pPr>
              <w:spacing w:after="0"/>
              <w:rPr>
                <w:sz w:val="2"/>
                <w:szCs w:val="2"/>
                <w:color w:val="auto"/>
              </w:rPr>
            </w:pPr>
          </w:p>
        </w:tc>
        <w:tc>
          <w:tcPr>
            <w:tcW w:w="1440" w:type="dxa"/>
            <w:vAlign w:val="bottom"/>
            <w:tcBorders>
              <w:bottom w:val="single" w:sz="8" w:color="E5E5E4"/>
            </w:tcBorders>
          </w:tcPr>
          <w:p>
            <w:pPr>
              <w:spacing w:after="0"/>
              <w:rPr>
                <w:sz w:val="2"/>
                <w:szCs w:val="2"/>
                <w:color w:val="auto"/>
              </w:rPr>
            </w:pPr>
          </w:p>
        </w:tc>
        <w:tc>
          <w:tcPr>
            <w:tcW w:w="720" w:type="dxa"/>
            <w:vAlign w:val="bottom"/>
            <w:tcBorders>
              <w:bottom w:val="single" w:sz="8" w:color="E5E5E4"/>
            </w:tcBorders>
          </w:tcPr>
          <w:p>
            <w:pPr>
              <w:spacing w:after="0"/>
              <w:rPr>
                <w:sz w:val="2"/>
                <w:szCs w:val="2"/>
                <w:color w:val="auto"/>
              </w:rPr>
            </w:pPr>
          </w:p>
        </w:tc>
        <w:tc>
          <w:tcPr>
            <w:tcW w:w="460" w:type="dxa"/>
            <w:vAlign w:val="bottom"/>
            <w:tcBorders>
              <w:bottom w:val="single" w:sz="8" w:color="E5E5E4"/>
            </w:tcBorders>
          </w:tcPr>
          <w:p>
            <w:pPr>
              <w:spacing w:after="0"/>
              <w:rPr>
                <w:sz w:val="2"/>
                <w:szCs w:val="2"/>
                <w:color w:val="auto"/>
              </w:rPr>
            </w:pPr>
          </w:p>
        </w:tc>
        <w:tc>
          <w:tcPr>
            <w:tcW w:w="1120" w:type="dxa"/>
            <w:vAlign w:val="bottom"/>
            <w:tcBorders>
              <w:bottom w:val="single" w:sz="8" w:color="E5E5E4"/>
            </w:tcBorders>
          </w:tcPr>
          <w:p>
            <w:pPr>
              <w:spacing w:after="0"/>
              <w:rPr>
                <w:sz w:val="2"/>
                <w:szCs w:val="2"/>
                <w:color w:val="auto"/>
              </w:rPr>
            </w:pPr>
          </w:p>
        </w:tc>
      </w:tr>
      <w:tr>
        <w:trPr>
          <w:trHeight w:val="93"/>
        </w:trPr>
        <w:tc>
          <w:tcPr>
            <w:tcW w:w="34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61"/>
        </w:trPr>
        <w:tc>
          <w:tcPr>
            <w:tcW w:w="3460" w:type="dxa"/>
            <w:vAlign w:val="bottom"/>
            <w:tcBorders>
              <w:bottom w:val="single" w:sz="8" w:color="D9E9F8"/>
            </w:tcBorders>
            <w:shd w:val="clear" w:color="auto" w:fill="D9E9F8"/>
          </w:tcPr>
          <w:p>
            <w:pPr>
              <w:ind w:left="200"/>
              <w:spacing w:after="0"/>
              <w:rPr>
                <w:sz w:val="20"/>
                <w:szCs w:val="20"/>
                <w:color w:val="auto"/>
              </w:rPr>
            </w:pPr>
            <w:r>
              <w:rPr>
                <w:rFonts w:ascii="Arial" w:cs="Arial" w:eastAsia="Arial" w:hAnsi="Arial"/>
                <w:sz w:val="18"/>
                <w:szCs w:val="18"/>
                <w:color w:val="231F20"/>
              </w:rPr>
              <w:t>2024</w:t>
            </w:r>
          </w:p>
        </w:tc>
        <w:tc>
          <w:tcPr>
            <w:tcW w:w="1440" w:type="dxa"/>
            <w:vAlign w:val="bottom"/>
            <w:tcBorders>
              <w:bottom w:val="single" w:sz="8" w:color="D9E9F8"/>
            </w:tcBorders>
            <w:shd w:val="clear" w:color="auto" w:fill="D9E9F8"/>
          </w:tcPr>
          <w:p>
            <w:pPr>
              <w:spacing w:after="0"/>
              <w:rPr>
                <w:sz w:val="22"/>
                <w:szCs w:val="22"/>
                <w:color w:val="auto"/>
              </w:rPr>
            </w:pPr>
          </w:p>
        </w:tc>
        <w:tc>
          <w:tcPr>
            <w:tcW w:w="720" w:type="dxa"/>
            <w:vAlign w:val="bottom"/>
            <w:tcBorders>
              <w:bottom w:val="single" w:sz="8" w:color="D9E9F8"/>
            </w:tcBorders>
            <w:shd w:val="clear" w:color="auto" w:fill="D9E9F8"/>
          </w:tcPr>
          <w:p>
            <w:pPr>
              <w:spacing w:after="0"/>
              <w:rPr>
                <w:sz w:val="22"/>
                <w:szCs w:val="22"/>
                <w:color w:val="auto"/>
              </w:rPr>
            </w:pPr>
          </w:p>
        </w:tc>
        <w:tc>
          <w:tcPr>
            <w:tcW w:w="460" w:type="dxa"/>
            <w:vAlign w:val="bottom"/>
            <w:tcBorders>
              <w:bottom w:val="single" w:sz="8" w:color="D9E9F8"/>
            </w:tcBorders>
            <w:shd w:val="clear" w:color="auto" w:fill="D9E9F8"/>
          </w:tcPr>
          <w:p>
            <w:pPr>
              <w:spacing w:after="0"/>
              <w:rPr>
                <w:sz w:val="22"/>
                <w:szCs w:val="22"/>
                <w:color w:val="auto"/>
              </w:rPr>
            </w:pPr>
          </w:p>
        </w:tc>
        <w:tc>
          <w:tcPr>
            <w:tcW w:w="1120" w:type="dxa"/>
            <w:vAlign w:val="bottom"/>
            <w:tcBorders>
              <w:bottom w:val="single" w:sz="8" w:color="D9E9F8"/>
            </w:tcBorders>
            <w:shd w:val="clear" w:color="auto" w:fill="D9E9F8"/>
          </w:tcPr>
          <w:p>
            <w:pPr>
              <w:spacing w:after="0"/>
              <w:rPr>
                <w:sz w:val="22"/>
                <w:szCs w:val="22"/>
                <w:color w:val="auto"/>
              </w:rPr>
            </w:pPr>
          </w:p>
        </w:tc>
      </w:tr>
      <w:tr>
        <w:trPr>
          <w:trHeight w:val="250"/>
        </w:trPr>
        <w:tc>
          <w:tcPr>
            <w:tcW w:w="3460" w:type="dxa"/>
            <w:vAlign w:val="bottom"/>
          </w:tcPr>
          <w:p>
            <w:pPr>
              <w:ind w:left="200"/>
              <w:spacing w:after="0"/>
              <w:rPr>
                <w:sz w:val="20"/>
                <w:szCs w:val="20"/>
                <w:color w:val="auto"/>
              </w:rPr>
            </w:pPr>
            <w:r>
              <w:rPr>
                <w:rFonts w:ascii="Arial" w:cs="Arial" w:eastAsia="Arial" w:hAnsi="Arial"/>
                <w:sz w:val="16"/>
                <w:szCs w:val="16"/>
                <w:color w:val="231F20"/>
              </w:rPr>
              <w:t>Fourth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$ 15.98</w:t>
            </w:r>
          </w:p>
        </w:tc>
        <w:tc>
          <w:tcPr>
            <w:tcW w:w="720" w:type="dxa"/>
            <w:vAlign w:val="bottom"/>
          </w:tcPr>
          <w:p>
            <w:pPr>
              <w:spacing w:after="0"/>
              <w:rPr>
                <w:sz w:val="21"/>
                <w:szCs w:val="21"/>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9.20</w:t>
            </w:r>
          </w:p>
        </w:tc>
      </w:tr>
      <w:tr>
        <w:trPr>
          <w:trHeight w:val="59"/>
        </w:trPr>
        <w:tc>
          <w:tcPr>
            <w:tcW w:w="3460" w:type="dxa"/>
            <w:vAlign w:val="bottom"/>
            <w:tcBorders>
              <w:bottom w:val="single" w:sz="8" w:color="E5E5E4"/>
            </w:tcBorders>
          </w:tcPr>
          <w:p>
            <w:pPr>
              <w:spacing w:after="0"/>
              <w:rPr>
                <w:sz w:val="5"/>
                <w:szCs w:val="5"/>
                <w:color w:val="auto"/>
              </w:rPr>
            </w:pPr>
          </w:p>
        </w:tc>
        <w:tc>
          <w:tcPr>
            <w:tcW w:w="1440" w:type="dxa"/>
            <w:vAlign w:val="bottom"/>
            <w:tcBorders>
              <w:bottom w:val="single" w:sz="8" w:color="E5E5E4"/>
            </w:tcBorders>
          </w:tcPr>
          <w:p>
            <w:pPr>
              <w:spacing w:after="0"/>
              <w:rPr>
                <w:sz w:val="5"/>
                <w:szCs w:val="5"/>
                <w:color w:val="auto"/>
              </w:rPr>
            </w:pPr>
          </w:p>
        </w:tc>
        <w:tc>
          <w:tcPr>
            <w:tcW w:w="720" w:type="dxa"/>
            <w:vAlign w:val="bottom"/>
            <w:tcBorders>
              <w:bottom w:val="single" w:sz="8" w:color="E5E5E4"/>
            </w:tcBorders>
          </w:tcPr>
          <w:p>
            <w:pPr>
              <w:spacing w:after="0"/>
              <w:rPr>
                <w:sz w:val="5"/>
                <w:szCs w:val="5"/>
                <w:color w:val="auto"/>
              </w:rPr>
            </w:pPr>
          </w:p>
        </w:tc>
        <w:tc>
          <w:tcPr>
            <w:tcW w:w="460" w:type="dxa"/>
            <w:vAlign w:val="bottom"/>
            <w:tcBorders>
              <w:bottom w:val="single" w:sz="8" w:color="E5E5E4"/>
            </w:tcBorders>
          </w:tcPr>
          <w:p>
            <w:pPr>
              <w:spacing w:after="0"/>
              <w:rPr>
                <w:sz w:val="5"/>
                <w:szCs w:val="5"/>
                <w:color w:val="auto"/>
              </w:rPr>
            </w:pPr>
          </w:p>
        </w:tc>
        <w:tc>
          <w:tcPr>
            <w:tcW w:w="1120" w:type="dxa"/>
            <w:vAlign w:val="bottom"/>
            <w:tcBorders>
              <w:bottom w:val="single" w:sz="8" w:color="E5E5E4"/>
            </w:tcBorders>
          </w:tcPr>
          <w:p>
            <w:pPr>
              <w:spacing w:after="0"/>
              <w:rPr>
                <w:sz w:val="5"/>
                <w:szCs w:val="5"/>
                <w:color w:val="auto"/>
              </w:rPr>
            </w:pPr>
          </w:p>
        </w:tc>
      </w:tr>
      <w:tr>
        <w:trPr>
          <w:trHeight w:val="192"/>
        </w:trPr>
        <w:tc>
          <w:tcPr>
            <w:tcW w:w="3460" w:type="dxa"/>
            <w:vAlign w:val="bottom"/>
          </w:tcPr>
          <w:p>
            <w:pPr>
              <w:ind w:left="200"/>
              <w:spacing w:after="0"/>
              <w:rPr>
                <w:sz w:val="20"/>
                <w:szCs w:val="20"/>
                <w:color w:val="auto"/>
              </w:rPr>
            </w:pPr>
            <w:r>
              <w:rPr>
                <w:rFonts w:ascii="Arial" w:cs="Arial" w:eastAsia="Arial" w:hAnsi="Arial"/>
                <w:sz w:val="16"/>
                <w:szCs w:val="16"/>
                <w:color w:val="231F20"/>
              </w:rPr>
              <w:t>Third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$ 10.68</w:t>
            </w:r>
          </w:p>
        </w:tc>
        <w:tc>
          <w:tcPr>
            <w:tcW w:w="720" w:type="dxa"/>
            <w:vAlign w:val="bottom"/>
          </w:tcPr>
          <w:p>
            <w:pPr>
              <w:spacing w:after="0"/>
              <w:rPr>
                <w:sz w:val="16"/>
                <w:szCs w:val="16"/>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7.23</w:t>
            </w:r>
          </w:p>
        </w:tc>
      </w:tr>
      <w:tr>
        <w:trPr>
          <w:trHeight w:val="45"/>
        </w:trPr>
        <w:tc>
          <w:tcPr>
            <w:tcW w:w="3460" w:type="dxa"/>
            <w:vAlign w:val="bottom"/>
            <w:tcBorders>
              <w:bottom w:val="single" w:sz="8" w:color="E5E5E4"/>
            </w:tcBorders>
          </w:tcPr>
          <w:p>
            <w:pPr>
              <w:spacing w:after="0"/>
              <w:rPr>
                <w:sz w:val="3"/>
                <w:szCs w:val="3"/>
                <w:color w:val="auto"/>
              </w:rPr>
            </w:pPr>
          </w:p>
        </w:tc>
        <w:tc>
          <w:tcPr>
            <w:tcW w:w="1440" w:type="dxa"/>
            <w:vAlign w:val="bottom"/>
            <w:tcBorders>
              <w:bottom w:val="single" w:sz="8" w:color="E5E5E4"/>
            </w:tcBorders>
          </w:tcPr>
          <w:p>
            <w:pPr>
              <w:spacing w:after="0"/>
              <w:rPr>
                <w:sz w:val="3"/>
                <w:szCs w:val="3"/>
                <w:color w:val="auto"/>
              </w:rPr>
            </w:pPr>
          </w:p>
        </w:tc>
        <w:tc>
          <w:tcPr>
            <w:tcW w:w="720" w:type="dxa"/>
            <w:vAlign w:val="bottom"/>
            <w:tcBorders>
              <w:bottom w:val="single" w:sz="8" w:color="E5E5E4"/>
            </w:tcBorders>
          </w:tcPr>
          <w:p>
            <w:pPr>
              <w:spacing w:after="0"/>
              <w:rPr>
                <w:sz w:val="3"/>
                <w:szCs w:val="3"/>
                <w:color w:val="auto"/>
              </w:rPr>
            </w:pPr>
          </w:p>
        </w:tc>
        <w:tc>
          <w:tcPr>
            <w:tcW w:w="460" w:type="dxa"/>
            <w:vAlign w:val="bottom"/>
            <w:tcBorders>
              <w:bottom w:val="single" w:sz="8" w:color="E5E5E4"/>
            </w:tcBorders>
          </w:tcPr>
          <w:p>
            <w:pPr>
              <w:spacing w:after="0"/>
              <w:rPr>
                <w:sz w:val="3"/>
                <w:szCs w:val="3"/>
                <w:color w:val="auto"/>
              </w:rPr>
            </w:pPr>
          </w:p>
        </w:tc>
        <w:tc>
          <w:tcPr>
            <w:tcW w:w="1120" w:type="dxa"/>
            <w:vAlign w:val="bottom"/>
            <w:tcBorders>
              <w:bottom w:val="single" w:sz="8" w:color="E5E5E4"/>
            </w:tcBorders>
          </w:tcPr>
          <w:p>
            <w:pPr>
              <w:spacing w:after="0"/>
              <w:rPr>
                <w:sz w:val="3"/>
                <w:szCs w:val="3"/>
                <w:color w:val="auto"/>
              </w:rPr>
            </w:pPr>
          </w:p>
        </w:tc>
      </w:tr>
      <w:tr>
        <w:trPr>
          <w:trHeight w:val="196"/>
        </w:trPr>
        <w:tc>
          <w:tcPr>
            <w:tcW w:w="3460" w:type="dxa"/>
            <w:vAlign w:val="bottom"/>
          </w:tcPr>
          <w:p>
            <w:pPr>
              <w:ind w:left="200"/>
              <w:spacing w:after="0"/>
              <w:rPr>
                <w:sz w:val="20"/>
                <w:szCs w:val="20"/>
                <w:color w:val="auto"/>
              </w:rPr>
            </w:pPr>
            <w:r>
              <w:rPr>
                <w:rFonts w:ascii="Arial" w:cs="Arial" w:eastAsia="Arial" w:hAnsi="Arial"/>
                <w:sz w:val="16"/>
                <w:szCs w:val="16"/>
                <w:color w:val="231F20"/>
              </w:rPr>
              <w:t>Second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$ 9.07</w:t>
            </w:r>
          </w:p>
        </w:tc>
        <w:tc>
          <w:tcPr>
            <w:tcW w:w="720" w:type="dxa"/>
            <w:vAlign w:val="bottom"/>
          </w:tcPr>
          <w:p>
            <w:pPr>
              <w:spacing w:after="0"/>
              <w:rPr>
                <w:sz w:val="17"/>
                <w:szCs w:val="17"/>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60"/>
              <w:spacing w:after="0"/>
              <w:rPr>
                <w:sz w:val="20"/>
                <w:szCs w:val="20"/>
                <w:color w:val="auto"/>
              </w:rPr>
            </w:pPr>
            <w:r>
              <w:rPr>
                <w:rFonts w:ascii="Arial" w:cs="Arial" w:eastAsia="Arial" w:hAnsi="Arial"/>
                <w:sz w:val="16"/>
                <w:szCs w:val="16"/>
                <w:color w:val="231F20"/>
              </w:rPr>
              <w:t>7.24</w:t>
            </w:r>
          </w:p>
        </w:tc>
      </w:tr>
      <w:tr>
        <w:trPr>
          <w:trHeight w:val="40"/>
        </w:trPr>
        <w:tc>
          <w:tcPr>
            <w:tcW w:w="3460" w:type="dxa"/>
            <w:vAlign w:val="bottom"/>
            <w:tcBorders>
              <w:bottom w:val="single" w:sz="8" w:color="E5E5E4"/>
            </w:tcBorders>
          </w:tcPr>
          <w:p>
            <w:pPr>
              <w:spacing w:after="0"/>
              <w:rPr>
                <w:sz w:val="3"/>
                <w:szCs w:val="3"/>
                <w:color w:val="auto"/>
              </w:rPr>
            </w:pPr>
          </w:p>
        </w:tc>
        <w:tc>
          <w:tcPr>
            <w:tcW w:w="1440" w:type="dxa"/>
            <w:vAlign w:val="bottom"/>
            <w:tcBorders>
              <w:bottom w:val="single" w:sz="8" w:color="E5E5E4"/>
            </w:tcBorders>
          </w:tcPr>
          <w:p>
            <w:pPr>
              <w:spacing w:after="0"/>
              <w:rPr>
                <w:sz w:val="3"/>
                <w:szCs w:val="3"/>
                <w:color w:val="auto"/>
              </w:rPr>
            </w:pPr>
          </w:p>
        </w:tc>
        <w:tc>
          <w:tcPr>
            <w:tcW w:w="720" w:type="dxa"/>
            <w:vAlign w:val="bottom"/>
            <w:tcBorders>
              <w:bottom w:val="single" w:sz="8" w:color="E5E5E4"/>
            </w:tcBorders>
          </w:tcPr>
          <w:p>
            <w:pPr>
              <w:spacing w:after="0"/>
              <w:rPr>
                <w:sz w:val="3"/>
                <w:szCs w:val="3"/>
                <w:color w:val="auto"/>
              </w:rPr>
            </w:pPr>
          </w:p>
        </w:tc>
        <w:tc>
          <w:tcPr>
            <w:tcW w:w="460" w:type="dxa"/>
            <w:vAlign w:val="bottom"/>
            <w:tcBorders>
              <w:bottom w:val="single" w:sz="8" w:color="E5E5E4"/>
            </w:tcBorders>
          </w:tcPr>
          <w:p>
            <w:pPr>
              <w:spacing w:after="0"/>
              <w:rPr>
                <w:sz w:val="3"/>
                <w:szCs w:val="3"/>
                <w:color w:val="auto"/>
              </w:rPr>
            </w:pPr>
          </w:p>
        </w:tc>
        <w:tc>
          <w:tcPr>
            <w:tcW w:w="1120" w:type="dxa"/>
            <w:vAlign w:val="bottom"/>
            <w:tcBorders>
              <w:bottom w:val="single" w:sz="8" w:color="E5E5E4"/>
            </w:tcBorders>
          </w:tcPr>
          <w:p>
            <w:pPr>
              <w:spacing w:after="0"/>
              <w:rPr>
                <w:sz w:val="3"/>
                <w:szCs w:val="3"/>
                <w:color w:val="auto"/>
              </w:rPr>
            </w:pPr>
          </w:p>
        </w:tc>
      </w:tr>
      <w:tr>
        <w:trPr>
          <w:trHeight w:val="212"/>
        </w:trPr>
        <w:tc>
          <w:tcPr>
            <w:tcW w:w="3460" w:type="dxa"/>
            <w:vAlign w:val="bottom"/>
          </w:tcPr>
          <w:p>
            <w:pPr>
              <w:ind w:left="200"/>
              <w:spacing w:after="0"/>
              <w:rPr>
                <w:sz w:val="20"/>
                <w:szCs w:val="20"/>
                <w:color w:val="auto"/>
              </w:rPr>
            </w:pPr>
            <w:r>
              <w:rPr>
                <w:rFonts w:ascii="Arial" w:cs="Arial" w:eastAsia="Arial" w:hAnsi="Arial"/>
                <w:sz w:val="16"/>
                <w:szCs w:val="16"/>
                <w:color w:val="231F20"/>
              </w:rPr>
              <w:t>First Quarter</w:t>
            </w:r>
          </w:p>
        </w:tc>
        <w:tc>
          <w:tcPr>
            <w:tcW w:w="1440" w:type="dxa"/>
            <w:vAlign w:val="bottom"/>
          </w:tcPr>
          <w:p>
            <w:pPr>
              <w:ind w:left="340"/>
              <w:spacing w:after="0"/>
              <w:rPr>
                <w:sz w:val="20"/>
                <w:szCs w:val="20"/>
                <w:color w:val="auto"/>
              </w:rPr>
            </w:pPr>
            <w:r>
              <w:rPr>
                <w:rFonts w:ascii="Arial" w:cs="Arial" w:eastAsia="Arial" w:hAnsi="Arial"/>
                <w:sz w:val="16"/>
                <w:szCs w:val="16"/>
                <w:color w:val="231F20"/>
              </w:rPr>
              <w:t>$ 9.00</w:t>
            </w:r>
          </w:p>
        </w:tc>
        <w:tc>
          <w:tcPr>
            <w:tcW w:w="72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6"/>
                <w:szCs w:val="16"/>
                <w:color w:val="231F20"/>
              </w:rPr>
              <w:t>$</w:t>
            </w:r>
          </w:p>
        </w:tc>
        <w:tc>
          <w:tcPr>
            <w:tcW w:w="1120" w:type="dxa"/>
            <w:vAlign w:val="bottom"/>
          </w:tcPr>
          <w:p>
            <w:pPr>
              <w:ind w:left="20"/>
              <w:spacing w:after="0"/>
              <w:rPr>
                <w:sz w:val="20"/>
                <w:szCs w:val="20"/>
                <w:color w:val="auto"/>
              </w:rPr>
            </w:pPr>
            <w:r>
              <w:rPr>
                <w:rFonts w:ascii="Arial" w:cs="Arial" w:eastAsia="Arial" w:hAnsi="Arial"/>
                <w:sz w:val="16"/>
                <w:szCs w:val="16"/>
                <w:color w:val="231F20"/>
              </w:rPr>
              <w:t>8.13</w:t>
            </w:r>
          </w:p>
        </w:tc>
      </w:tr>
      <w:tr>
        <w:trPr>
          <w:trHeight w:val="25"/>
        </w:trPr>
        <w:tc>
          <w:tcPr>
            <w:tcW w:w="3460" w:type="dxa"/>
            <w:vAlign w:val="bottom"/>
            <w:tcBorders>
              <w:bottom w:val="single" w:sz="8" w:color="E5E5E4"/>
            </w:tcBorders>
          </w:tcPr>
          <w:p>
            <w:pPr>
              <w:spacing w:after="0"/>
              <w:rPr>
                <w:sz w:val="2"/>
                <w:szCs w:val="2"/>
                <w:color w:val="auto"/>
              </w:rPr>
            </w:pPr>
          </w:p>
        </w:tc>
        <w:tc>
          <w:tcPr>
            <w:tcW w:w="1440" w:type="dxa"/>
            <w:vAlign w:val="bottom"/>
            <w:tcBorders>
              <w:bottom w:val="single" w:sz="8" w:color="E5E5E4"/>
            </w:tcBorders>
          </w:tcPr>
          <w:p>
            <w:pPr>
              <w:spacing w:after="0"/>
              <w:rPr>
                <w:sz w:val="2"/>
                <w:szCs w:val="2"/>
                <w:color w:val="auto"/>
              </w:rPr>
            </w:pPr>
          </w:p>
        </w:tc>
        <w:tc>
          <w:tcPr>
            <w:tcW w:w="720" w:type="dxa"/>
            <w:vAlign w:val="bottom"/>
            <w:tcBorders>
              <w:bottom w:val="single" w:sz="8" w:color="E5E5E4"/>
            </w:tcBorders>
          </w:tcPr>
          <w:p>
            <w:pPr>
              <w:spacing w:after="0"/>
              <w:rPr>
                <w:sz w:val="2"/>
                <w:szCs w:val="2"/>
                <w:color w:val="auto"/>
              </w:rPr>
            </w:pPr>
          </w:p>
        </w:tc>
        <w:tc>
          <w:tcPr>
            <w:tcW w:w="460" w:type="dxa"/>
            <w:vAlign w:val="bottom"/>
            <w:tcBorders>
              <w:bottom w:val="single" w:sz="8" w:color="E5E5E4"/>
            </w:tcBorders>
          </w:tcPr>
          <w:p>
            <w:pPr>
              <w:spacing w:after="0"/>
              <w:rPr>
                <w:sz w:val="2"/>
                <w:szCs w:val="2"/>
                <w:color w:val="auto"/>
              </w:rPr>
            </w:pPr>
          </w:p>
        </w:tc>
        <w:tc>
          <w:tcPr>
            <w:tcW w:w="1120" w:type="dxa"/>
            <w:vAlign w:val="bottom"/>
            <w:tcBorders>
              <w:bottom w:val="single" w:sz="8" w:color="E5E5E4"/>
            </w:tcBorders>
          </w:tcPr>
          <w:p>
            <w:pPr>
              <w:spacing w:after="0"/>
              <w:rPr>
                <w:sz w:val="2"/>
                <w:szCs w:val="2"/>
                <w:color w:val="auto"/>
              </w:rPr>
            </w:pPr>
          </w:p>
        </w:tc>
      </w:tr>
    </w:tbl>
    <w:p>
      <w:pPr>
        <w:sectPr>
          <w:pgSz w:w="11880" w:h="15480" w:orient="portrait"/>
          <w:cols w:equalWidth="0" w:num="1">
            <w:col w:w="10360"/>
          </w:cols>
          <w:pgMar w:left="880" w:top="1083" w:right="640" w:bottom="141"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40" w:right="40"/>
        <w:spacing w:after="0" w:line="1267" w:lineRule="exact"/>
        <w:rPr>
          <w:sz w:val="20"/>
          <w:szCs w:val="20"/>
          <w:color w:val="auto"/>
        </w:rPr>
      </w:pPr>
      <w:r>
        <w:rPr>
          <w:rFonts w:ascii="PMingLiU" w:cs="PMingLiU" w:eastAsia="PMingLiU" w:hAnsi="PMingLiU"/>
          <w:sz w:val="99"/>
          <w:szCs w:val="99"/>
          <w:b w:val="1"/>
          <w:bCs w:val="1"/>
          <w:color w:val="FFFFFF"/>
        </w:rPr>
        <w:t/>
      </w:r>
      <w:r>
        <w:rPr>
          <w:rFonts w:ascii="Arial" w:cs="Arial" w:eastAsia="Arial" w:hAnsi="Arial"/>
          <w:sz w:val="99"/>
          <w:szCs w:val="99"/>
          <w:b w:val="1"/>
          <w:bCs w:val="1"/>
          <w:color w:val="FFFFFF"/>
        </w:rPr>
        <w:t>ñ</w:t>
      </w:r>
      <w:r>
        <w:rPr>
          <w:rFonts w:ascii="PMingLiU" w:cs="PMingLiU" w:eastAsia="PMingLiU" w:hAnsi="PMingLiU"/>
          <w:sz w:val="99"/>
          <w:szCs w:val="99"/>
          <w:b w:val="1"/>
          <w:bCs w:val="1"/>
          <w:color w:val="FFFFFF"/>
        </w:rPr>
        <w:t></w:t>
      </w:r>
      <w:r>
        <w:rPr>
          <w:rFonts w:ascii="Arial" w:cs="Arial" w:eastAsia="Arial" w:hAnsi="Arial"/>
          <w:sz w:val="99"/>
          <w:szCs w:val="99"/>
          <w:b w:val="1"/>
          <w:bCs w:val="1"/>
          <w:color w:val="FFFFFF"/>
        </w:rPr>
        <w:t>àÜ§ë</w:t>
      </w:r>
      <w:r>
        <w:rPr>
          <w:rFonts w:ascii="PMingLiU" w:cs="PMingLiU" w:eastAsia="PMingLiU" w:hAnsi="PMingLiU"/>
          <w:sz w:val="99"/>
          <w:szCs w:val="99"/>
          <w:b w:val="1"/>
          <w:bCs w:val="1"/>
          <w:color w:val="FFFFFF"/>
        </w:rPr>
        <w:t></w:t>
      </w:r>
      <w:r>
        <w:rPr>
          <w:rFonts w:ascii="Arial" w:cs="Arial" w:eastAsia="Arial" w:hAnsi="Arial"/>
          <w:sz w:val="99"/>
          <w:szCs w:val="99"/>
          <w:b w:val="1"/>
          <w:bCs w:val="1"/>
          <w:color w:val="FFFFFF"/>
        </w:rPr>
        <w:t>ŁE ĝ</w:t>
      </w:r>
      <w:r>
        <w:rPr>
          <w:rFonts w:ascii="PMingLiU" w:cs="PMingLiU" w:eastAsia="PMingLiU" w:hAnsi="PMingLiU"/>
          <w:sz w:val="99"/>
          <w:szCs w:val="99"/>
          <w:b w:val="1"/>
          <w:bCs w:val="1"/>
          <w:color w:val="FFFFFF"/>
        </w:rPr>
        <w:t></w:t>
      </w:r>
      <w:r>
        <w:rPr>
          <w:rFonts w:ascii="Arial" w:cs="Arial" w:eastAsia="Arial" w:hAnsi="Arial"/>
          <w:sz w:val="99"/>
          <w:szCs w:val="99"/>
          <w:b w:val="1"/>
          <w:bCs w:val="1"/>
          <w:color w:val="FFFFFF"/>
        </w:rPr>
        <w:t>ÒÖ and Directors</w:t>
      </w:r>
    </w:p>
    <w:p>
      <w:pPr>
        <w:sectPr>
          <w:pgSz w:w="11880" w:h="15480" w:orient="portrait"/>
          <w:cols w:equalWidth="0" w:num="1">
            <w:col w:w="9000"/>
          </w:cols>
          <w:pgMar w:left="1440" w:top="1440" w:right="1440" w:bottom="1440" w:gutter="0" w:footer="0" w:header="0"/>
        </w:sectPr>
      </w:pPr>
    </w:p>
    <w:bookmarkStart w:id="4" w:name="page5"/>
    <w:bookmarkEnd w:id="4"/>
    <w:p>
      <w:pPr>
        <w:spacing w:after="0" w:line="316" w:lineRule="exact"/>
        <w:rPr>
          <w:sz w:val="20"/>
          <w:szCs w:val="20"/>
          <w:color w:val="auto"/>
        </w:rPr>
      </w:pPr>
      <w:r>
        <w:rPr>
          <w:rFonts w:ascii="PMingLiU" w:cs="PMingLiU" w:eastAsia="PMingLiU" w:hAnsi="PMingLiU"/>
          <w:sz w:val="26"/>
          <w:szCs w:val="26"/>
          <w:b w:val="1"/>
          <w:bCs w:val="1"/>
          <w:color w:val="0D568B"/>
        </w:rPr>
        <w:t/>
      </w:r>
      <w:r>
        <w:rPr>
          <w:rFonts w:ascii="Arial" w:cs="Arial" w:eastAsia="Arial" w:hAnsi="Arial"/>
          <w:sz w:val="26"/>
          <w:szCs w:val="26"/>
          <w:b w:val="1"/>
          <w:bCs w:val="1"/>
          <w:color w:val="0D568B"/>
        </w:rPr>
        <w:t>ñ</w:t>
      </w:r>
      <w:r>
        <w:rPr>
          <w:rFonts w:ascii="PMingLiU" w:cs="PMingLiU" w:eastAsia="PMingLiU" w:hAnsi="PMingLiU"/>
          <w:sz w:val="26"/>
          <w:szCs w:val="26"/>
          <w:b w:val="1"/>
          <w:bCs w:val="1"/>
          <w:color w:val="0D568B"/>
        </w:rPr>
        <w:t></w:t>
      </w:r>
      <w:r>
        <w:rPr>
          <w:rFonts w:ascii="Arial" w:cs="Arial" w:eastAsia="Arial" w:hAnsi="Arial"/>
          <w:sz w:val="26"/>
          <w:szCs w:val="26"/>
          <w:b w:val="1"/>
          <w:bCs w:val="1"/>
          <w:color w:val="0D568B"/>
        </w:rPr>
        <w:t>àÜ§ë</w:t>
      </w:r>
      <w:r>
        <w:rPr>
          <w:rFonts w:ascii="PMingLiU" w:cs="PMingLiU" w:eastAsia="PMingLiU" w:hAnsi="PMingLiU"/>
          <w:sz w:val="26"/>
          <w:szCs w:val="26"/>
          <w:b w:val="1"/>
          <w:bCs w:val="1"/>
          <w:color w:val="0D568B"/>
        </w:rPr>
        <w:t></w:t>
      </w:r>
      <w:r>
        <w:rPr>
          <w:rFonts w:ascii="Arial" w:cs="Arial" w:eastAsia="Arial" w:hAnsi="Arial"/>
          <w:sz w:val="26"/>
          <w:szCs w:val="26"/>
          <w:b w:val="1"/>
          <w:bCs w:val="1"/>
          <w:color w:val="0D568B"/>
        </w:rPr>
        <w:t>ŁE ĝ</w:t>
      </w:r>
      <w:r>
        <w:rPr>
          <w:rFonts w:ascii="PMingLiU" w:cs="PMingLiU" w:eastAsia="PMingLiU" w:hAnsi="PMingLiU"/>
          <w:sz w:val="26"/>
          <w:szCs w:val="26"/>
          <w:b w:val="1"/>
          <w:bCs w:val="1"/>
          <w:color w:val="0D568B"/>
        </w:rPr>
        <w:t></w:t>
      </w:r>
      <w:r>
        <w:rPr>
          <w:rFonts w:ascii="Arial" w:cs="Arial" w:eastAsia="Arial" w:hAnsi="Arial"/>
          <w:sz w:val="26"/>
          <w:szCs w:val="26"/>
          <w:b w:val="1"/>
          <w:bCs w:val="1"/>
          <w:color w:val="0D568B"/>
        </w:rPr>
        <w:t>ÒÖ</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890270" cy="84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0D528D"/>
        </w:rPr>
        <w:t>Nirav Patel</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6"/>
          <w:szCs w:val="16"/>
          <w:color w:val="211E1F"/>
        </w:rPr>
        <w:t>President and</w:t>
      </w:r>
    </w:p>
    <w:p>
      <w:pPr>
        <w:spacing w:after="0" w:line="16" w:lineRule="exact"/>
        <w:rPr>
          <w:sz w:val="20"/>
          <w:szCs w:val="20"/>
          <w:color w:val="auto"/>
        </w:rPr>
      </w:pPr>
    </w:p>
    <w:p>
      <w:pPr>
        <w:ind w:left="1740"/>
        <w:spacing w:after="0" w:line="194" w:lineRule="exact"/>
        <w:rPr>
          <w:sz w:val="20"/>
          <w:szCs w:val="20"/>
          <w:color w:val="auto"/>
        </w:rPr>
      </w:pPr>
      <w:r>
        <w:rPr>
          <w:rFonts w:ascii="PMingLiU" w:cs="PMingLiU" w:eastAsia="PMingLiU" w:hAnsi="PMingLiU"/>
          <w:sz w:val="16"/>
          <w:szCs w:val="16"/>
          <w:color w:val="211E1F"/>
        </w:rPr>
        <w:t/>
      </w:r>
      <w:r>
        <w:rPr>
          <w:rFonts w:ascii="Arial" w:cs="Arial" w:eastAsia="Arial" w:hAnsi="Arial"/>
          <w:sz w:val="16"/>
          <w:szCs w:val="16"/>
          <w:color w:val="211E1F"/>
        </w:rPr>
        <w:t xml:space="preserve">¥ie </w:t>
      </w:r>
      <w:r>
        <w:rPr>
          <w:rFonts w:ascii="PMingLiU" w:cs="PMingLiU" w:eastAsia="PMingLiU" w:hAnsi="PMingLiU"/>
          <w:sz w:val="16"/>
          <w:szCs w:val="16"/>
          <w:color w:val="211E1F"/>
        </w:rPr>
        <w:t/>
      </w:r>
      <w:r>
        <w:rPr>
          <w:rFonts w:ascii="Arial" w:cs="Arial" w:eastAsia="Arial" w:hAnsi="Arial"/>
          <w:sz w:val="16"/>
          <w:szCs w:val="16"/>
          <w:color w:val="211E1F"/>
        </w:rPr>
        <w:t>ñe</w:t>
      </w:r>
      <w:r>
        <w:rPr>
          <w:rFonts w:ascii="PMingLiU" w:cs="PMingLiU" w:eastAsia="PMingLiU" w:hAnsi="PMingLiU"/>
          <w:sz w:val="16"/>
          <w:szCs w:val="16"/>
          <w:color w:val="211E1F"/>
        </w:rPr>
        <w:t></w:t>
      </w:r>
      <w:r>
        <w:rPr>
          <w:rFonts w:ascii="Arial" w:cs="Arial" w:eastAsia="Arial" w:hAnsi="Arial"/>
          <w:sz w:val="16"/>
          <w:szCs w:val="16"/>
          <w:color w:val="211E1F"/>
        </w:rPr>
        <w:t>àtiëe E ĝ</w:t>
      </w:r>
      <w:r>
        <w:rPr>
          <w:rFonts w:ascii="PMingLiU" w:cs="PMingLiU" w:eastAsia="PMingLiU" w:hAnsi="PMingLiU"/>
          <w:sz w:val="16"/>
          <w:szCs w:val="16"/>
          <w:color w:val="211E1F"/>
        </w:rPr>
        <w:t></w:t>
      </w:r>
      <w:r>
        <w:rPr>
          <w:rFonts w:ascii="Arial" w:cs="Arial" w:eastAsia="Arial" w:hAnsi="Arial"/>
          <w:sz w:val="16"/>
          <w:szCs w:val="16"/>
          <w:color w:val="211E1F"/>
        </w:rPr>
        <w: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b w:val="1"/>
          <w:bCs w:val="1"/>
          <w:color w:val="0D568B"/>
        </w:rPr>
        <w:t>Directors</w:t>
      </w:r>
    </w:p>
    <w:p>
      <w:pPr>
        <w:spacing w:after="0" w:line="359"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0D528D"/>
        </w:rPr>
        <w:t>Sunil Wadhwani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890270" cy="841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43" w:lineRule="exact"/>
        <w:rPr>
          <w:sz w:val="20"/>
          <w:szCs w:val="20"/>
          <w:color w:val="auto"/>
        </w:rPr>
      </w:pPr>
    </w:p>
    <w:p>
      <w:pPr>
        <w:ind w:left="1740"/>
        <w:spacing w:after="0" w:line="194" w:lineRule="exact"/>
        <w:rPr>
          <w:sz w:val="20"/>
          <w:szCs w:val="20"/>
          <w:color w:val="auto"/>
        </w:rPr>
      </w:pPr>
      <w:r>
        <w:rPr>
          <w:rFonts w:ascii="PMingLiU" w:cs="PMingLiU" w:eastAsia="PMingLiU" w:hAnsi="PMingLiU"/>
          <w:sz w:val="16"/>
          <w:szCs w:val="16"/>
          <w:color w:val="211E1F"/>
        </w:rPr>
        <w:t/>
      </w:r>
      <w:r>
        <w:rPr>
          <w:rFonts w:ascii="Arial" w:cs="Arial" w:eastAsia="Arial" w:hAnsi="Arial"/>
          <w:sz w:val="16"/>
          <w:szCs w:val="16"/>
          <w:color w:val="211E1F"/>
        </w:rPr>
        <w:t>§Ò</w:t>
      </w:r>
      <w:r>
        <w:rPr>
          <w:rFonts w:ascii="PMingLiU" w:cs="PMingLiU" w:eastAsia="PMingLiU" w:hAnsi="PMingLiU"/>
          <w:sz w:val="16"/>
          <w:szCs w:val="16"/>
          <w:color w:val="211E1F"/>
        </w:rPr>
        <w:t></w:t>
      </w:r>
      <w:r>
        <w:rPr>
          <w:rFonts w:ascii="Arial" w:cs="Arial" w:eastAsia="Arial" w:hAnsi="Arial"/>
          <w:sz w:val="16"/>
          <w:szCs w:val="16"/>
          <w:color w:val="211E1F"/>
        </w:rPr>
        <w:t>ÜÄÒŁ~¾</w:t>
      </w:r>
      <w:r>
        <w:rPr>
          <w:rFonts w:ascii="PMingLiU" w:cs="PMingLiU" w:eastAsia="PMingLiU" w:hAnsi="PMingLiU"/>
          <w:sz w:val="16"/>
          <w:szCs w:val="16"/>
          <w:color w:val="211E1F"/>
        </w:rPr>
        <w:t></w:t>
      </w:r>
      <w:r>
        <w:rPr>
          <w:rFonts w:ascii="Arial" w:cs="Arial" w:eastAsia="Arial" w:hAnsi="Arial"/>
          <w:sz w:val="16"/>
          <w:szCs w:val="16"/>
          <w:color w:val="211E1F"/>
        </w:rPr>
        <w:t>Ł</w:t>
      </w:r>
      <w:r>
        <w:rPr>
          <w:rFonts w:ascii="PMingLiU" w:cs="PMingLiU" w:eastAsia="PMingLiU" w:hAnsi="PMingLiU"/>
          <w:sz w:val="16"/>
          <w:szCs w:val="16"/>
          <w:color w:val="211E1F"/>
        </w:rPr>
        <w:t/>
      </w:r>
      <w:r>
        <w:rPr>
          <w:rFonts w:ascii="Arial" w:cs="Arial" w:eastAsia="Arial" w:hAnsi="Arial"/>
          <w:sz w:val="16"/>
          <w:szCs w:val="16"/>
          <w:color w:val="211E1F"/>
        </w:rPr>
        <w:t>Äŕ</w:t>
      </w:r>
      <w:r>
        <w:rPr>
          <w:rFonts w:ascii="PMingLiU" w:cs="PMingLiU" w:eastAsia="PMingLiU" w:hAnsi="PMingLiU"/>
          <w:sz w:val="16"/>
          <w:szCs w:val="16"/>
          <w:color w:val="211E1F"/>
        </w:rPr>
        <w:t/>
      </w:r>
      <w:r>
        <w:rPr>
          <w:rFonts w:ascii="Arial" w:cs="Arial" w:eastAsia="Arial" w:hAnsi="Arial"/>
          <w:sz w:val="16"/>
          <w:szCs w:val="16"/>
          <w:color w:val="211E1F"/>
        </w:rPr>
        <w:t>¥~§Ò½~¾</w:t>
      </w:r>
    </w:p>
    <w:p>
      <w:pPr>
        <w:spacing w:after="0" w:line="141" w:lineRule="exact"/>
        <w:rPr>
          <w:sz w:val="20"/>
          <w:szCs w:val="20"/>
          <w:color w:val="auto"/>
        </w:rPr>
      </w:pPr>
    </w:p>
    <w:p>
      <w:pPr>
        <w:ind w:left="1740" w:right="1560"/>
        <w:spacing w:after="0" w:line="294" w:lineRule="auto"/>
        <w:rPr>
          <w:sz w:val="20"/>
          <w:szCs w:val="20"/>
          <w:color w:val="auto"/>
        </w:rPr>
      </w:pPr>
      <w:r>
        <w:rPr>
          <w:rFonts w:ascii="Arial" w:cs="Arial" w:eastAsia="Arial" w:hAnsi="Arial"/>
          <w:sz w:val="16"/>
          <w:szCs w:val="16"/>
          <w:color w:val="231F20"/>
        </w:rPr>
        <w:t>Sunil co-founded Mastech Digital and grew the companò from a start-up *] stafĝng ĝrm into one of the countròŤs leading *] stafĝng companies. He has also angel-funded over 40 technology start-ups.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598805</wp:posOffset>
            </wp:positionV>
            <wp:extent cx="890270" cy="841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0D528D"/>
        </w:rPr>
        <w:t>Nirav Patel</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6"/>
          <w:szCs w:val="16"/>
          <w:color w:val="211E1F"/>
        </w:rPr>
        <w:t>President and CEO</w:t>
      </w:r>
    </w:p>
    <w:p>
      <w:pPr>
        <w:spacing w:after="0" w:line="151" w:lineRule="exact"/>
        <w:rPr>
          <w:sz w:val="20"/>
          <w:szCs w:val="20"/>
          <w:color w:val="auto"/>
        </w:rPr>
      </w:pPr>
    </w:p>
    <w:p>
      <w:pPr>
        <w:ind w:left="1740" w:right="1780"/>
        <w:spacing w:after="0" w:line="292" w:lineRule="auto"/>
        <w:rPr>
          <w:sz w:val="20"/>
          <w:szCs w:val="20"/>
          <w:color w:val="auto"/>
        </w:rPr>
      </w:pPr>
      <w:r>
        <w:rPr>
          <w:rFonts w:ascii="Arial" w:cs="Arial" w:eastAsia="Arial" w:hAnsi="Arial"/>
          <w:sz w:val="16"/>
          <w:szCs w:val="16"/>
          <w:color w:val="231F20"/>
        </w:rPr>
        <w:t>Nirav, CEO of Mastech Digital, drives growth through innovation and high-performance teams. With 20+ years of experience, he scaled Cognizant’s Communications and Bristlecone’s AI-led supply chain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602615</wp:posOffset>
            </wp:positionV>
            <wp:extent cx="890270" cy="841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0D528D"/>
        </w:rPr>
        <w:t>Srinivas Kandula (1, 2, 3)*</w:t>
      </w:r>
    </w:p>
    <w:p>
      <w:pPr>
        <w:spacing w:after="0" w:line="63" w:lineRule="exact"/>
        <w:rPr>
          <w:sz w:val="20"/>
          <w:szCs w:val="20"/>
          <w:color w:val="auto"/>
        </w:rPr>
      </w:pPr>
    </w:p>
    <w:p>
      <w:pPr>
        <w:ind w:left="1740"/>
        <w:spacing w:after="0" w:line="194" w:lineRule="exact"/>
        <w:rPr>
          <w:sz w:val="20"/>
          <w:szCs w:val="20"/>
          <w:color w:val="auto"/>
        </w:rPr>
      </w:pPr>
      <w:r>
        <w:rPr>
          <w:rFonts w:ascii="PMingLiU" w:cs="PMingLiU" w:eastAsia="PMingLiU" w:hAnsi="PMingLiU"/>
          <w:sz w:val="16"/>
          <w:szCs w:val="16"/>
          <w:color w:val="211E1F"/>
        </w:rPr>
        <w:t/>
      </w:r>
      <w:r>
        <w:rPr>
          <w:rFonts w:ascii="Arial" w:cs="Arial" w:eastAsia="Arial" w:hAnsi="Arial"/>
          <w:sz w:val="16"/>
          <w:szCs w:val="16"/>
          <w:color w:val="211E1F"/>
        </w:rPr>
        <w:t>§Ò</w:t>
      </w:r>
      <w:r>
        <w:rPr>
          <w:rFonts w:ascii="PMingLiU" w:cs="PMingLiU" w:eastAsia="PMingLiU" w:hAnsi="PMingLiU"/>
          <w:sz w:val="16"/>
          <w:szCs w:val="16"/>
          <w:color w:val="211E1F"/>
        </w:rPr>
        <w:t></w:t>
      </w:r>
      <w:r>
        <w:rPr>
          <w:rFonts w:ascii="Arial" w:cs="Arial" w:eastAsia="Arial" w:hAnsi="Arial"/>
          <w:sz w:val="16"/>
          <w:szCs w:val="16"/>
          <w:color w:val="211E1F"/>
        </w:rPr>
        <w:t>ÜÄÒ</w:t>
      </w:r>
    </w:p>
    <w:p>
      <w:pPr>
        <w:spacing w:after="0" w:line="141" w:lineRule="exact"/>
        <w:rPr>
          <w:sz w:val="20"/>
          <w:szCs w:val="20"/>
          <w:color w:val="auto"/>
        </w:rPr>
      </w:pPr>
    </w:p>
    <w:p>
      <w:pPr>
        <w:ind w:left="1740" w:right="1880"/>
        <w:spacing w:after="0" w:line="294" w:lineRule="auto"/>
        <w:rPr>
          <w:sz w:val="20"/>
          <w:szCs w:val="20"/>
          <w:color w:val="auto"/>
        </w:rPr>
      </w:pPr>
      <w:r>
        <w:rPr>
          <w:rFonts w:ascii="Arial" w:cs="Arial" w:eastAsia="Arial" w:hAnsi="Arial"/>
          <w:sz w:val="16"/>
          <w:szCs w:val="16"/>
          <w:color w:val="231F20"/>
        </w:rPr>
        <w:t>Srinivas is a strategic leader, author, and educator, formerly CEO of Capgemini India, now driving innovation at the Centre for Organization Development (CoD), Hyderabad.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541020</wp:posOffset>
            </wp:positionV>
            <wp:extent cx="3126740" cy="962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6740" cy="96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20"/>
          <w:szCs w:val="20"/>
          <w:color w:val="18181D"/>
        </w:rPr>
        <w:t>*Committee Assignments</w:t>
      </w:r>
    </w:p>
    <w:p>
      <w:pPr>
        <w:spacing w:after="0" w:line="20" w:lineRule="exact"/>
        <w:rPr>
          <w:sz w:val="20"/>
          <w:szCs w:val="20"/>
          <w:color w:val="auto"/>
        </w:rPr>
      </w:pPr>
    </w:p>
    <w:p>
      <w:pPr>
        <w:spacing w:after="0" w:line="90" w:lineRule="exact"/>
        <w:rPr>
          <w:sz w:val="20"/>
          <w:szCs w:val="20"/>
          <w:color w:val="auto"/>
        </w:rPr>
      </w:pPr>
    </w:p>
    <w:p>
      <w:pPr>
        <w:ind w:left="460" w:hanging="199"/>
        <w:spacing w:after="0"/>
        <w:tabs>
          <w:tab w:leader="none" w:pos="460" w:val="left"/>
        </w:tabs>
        <w:numPr>
          <w:ilvl w:val="0"/>
          <w:numId w:val="1"/>
        </w:numPr>
        <w:rPr>
          <w:rFonts w:ascii="Arial" w:cs="Arial" w:eastAsia="Arial" w:hAnsi="Arial"/>
          <w:sz w:val="16"/>
          <w:szCs w:val="16"/>
          <w:color w:val="18181D"/>
        </w:rPr>
      </w:pPr>
      <w:r>
        <w:rPr>
          <w:rFonts w:ascii="Arial" w:cs="Arial" w:eastAsia="Arial" w:hAnsi="Arial"/>
          <w:sz w:val="16"/>
          <w:szCs w:val="16"/>
          <w:color w:val="18181D"/>
        </w:rPr>
        <w:t>Audit Committee</w:t>
      </w:r>
    </w:p>
    <w:p>
      <w:pPr>
        <w:spacing w:after="0" w:line="116" w:lineRule="exact"/>
        <w:rPr>
          <w:rFonts w:ascii="Arial" w:cs="Arial" w:eastAsia="Arial" w:hAnsi="Arial"/>
          <w:sz w:val="16"/>
          <w:szCs w:val="16"/>
          <w:color w:val="18181D"/>
        </w:rPr>
      </w:pPr>
    </w:p>
    <w:p>
      <w:pPr>
        <w:ind w:left="460" w:hanging="199"/>
        <w:spacing w:after="0"/>
        <w:tabs>
          <w:tab w:leader="none" w:pos="460" w:val="left"/>
        </w:tabs>
        <w:numPr>
          <w:ilvl w:val="0"/>
          <w:numId w:val="1"/>
        </w:numPr>
        <w:rPr>
          <w:rFonts w:ascii="Arial" w:cs="Arial" w:eastAsia="Arial" w:hAnsi="Arial"/>
          <w:sz w:val="16"/>
          <w:szCs w:val="16"/>
          <w:color w:val="18181D"/>
        </w:rPr>
      </w:pPr>
      <w:r>
        <w:rPr>
          <w:rFonts w:ascii="Arial" w:cs="Arial" w:eastAsia="Arial" w:hAnsi="Arial"/>
          <w:sz w:val="16"/>
          <w:szCs w:val="16"/>
          <w:color w:val="18181D"/>
        </w:rPr>
        <w:t>Compensation Committee</w:t>
      </w:r>
    </w:p>
    <w:p>
      <w:pPr>
        <w:spacing w:after="0" w:line="116" w:lineRule="exact"/>
        <w:rPr>
          <w:rFonts w:ascii="Arial" w:cs="Arial" w:eastAsia="Arial" w:hAnsi="Arial"/>
          <w:sz w:val="16"/>
          <w:szCs w:val="16"/>
          <w:color w:val="18181D"/>
        </w:rPr>
      </w:pPr>
    </w:p>
    <w:p>
      <w:pPr>
        <w:ind w:left="460" w:hanging="199"/>
        <w:spacing w:after="0"/>
        <w:tabs>
          <w:tab w:leader="none" w:pos="460" w:val="left"/>
        </w:tabs>
        <w:numPr>
          <w:ilvl w:val="0"/>
          <w:numId w:val="1"/>
        </w:numPr>
        <w:rPr>
          <w:rFonts w:ascii="Arial" w:cs="Arial" w:eastAsia="Arial" w:hAnsi="Arial"/>
          <w:sz w:val="16"/>
          <w:szCs w:val="16"/>
          <w:color w:val="18181D"/>
        </w:rPr>
      </w:pPr>
      <w:r>
        <w:rPr>
          <w:rFonts w:ascii="Arial" w:cs="Arial" w:eastAsia="Arial" w:hAnsi="Arial"/>
          <w:sz w:val="16"/>
          <w:szCs w:val="16"/>
          <w:color w:val="18181D"/>
        </w:rPr>
        <w:t>Nominating and Corporate Governance Committee</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0D528D"/>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-327660</wp:posOffset>
            </wp:positionV>
            <wp:extent cx="890270" cy="841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0270" cy="841375"/>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-1209040</wp:posOffset>
            </wp:positionV>
            <wp:extent cx="120967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9675" cy="3003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211E1F"/>
        </w:rPr>
        <w:t>Chief Financial and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211E1F"/>
        </w:rPr>
        <w:t>EÏeratiÄns Efĝcer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0D528D"/>
        </w:rPr>
        <w:t>Ashok 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-144780</wp:posOffset>
            </wp:positionV>
            <wp:extent cx="890270" cy="841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43" w:lineRule="exact"/>
        <w:rPr>
          <w:sz w:val="20"/>
          <w:szCs w:val="20"/>
          <w:color w:val="auto"/>
        </w:rPr>
      </w:pPr>
    </w:p>
    <w:p>
      <w:pPr>
        <w:spacing w:after="0" w:line="194" w:lineRule="exact"/>
        <w:rPr>
          <w:sz w:val="20"/>
          <w:szCs w:val="20"/>
          <w:color w:val="auto"/>
        </w:rPr>
      </w:pPr>
      <w:r>
        <w:rPr>
          <w:rFonts w:ascii="PMingLiU" w:cs="PMingLiU" w:eastAsia="PMingLiU" w:hAnsi="PMingLiU"/>
          <w:sz w:val="16"/>
          <w:szCs w:val="16"/>
          <w:color w:val="211E1F"/>
        </w:rPr>
        <w:t/>
      </w:r>
      <w:r>
        <w:rPr>
          <w:rFonts w:ascii="Arial" w:cs="Arial" w:eastAsia="Arial" w:hAnsi="Arial"/>
          <w:sz w:val="16"/>
          <w:szCs w:val="16"/>
          <w:color w:val="211E1F"/>
        </w:rPr>
        <w:t>§Ò</w:t>
      </w:r>
      <w:r>
        <w:rPr>
          <w:rFonts w:ascii="PMingLiU" w:cs="PMingLiU" w:eastAsia="PMingLiU" w:hAnsi="PMingLiU"/>
          <w:sz w:val="16"/>
          <w:szCs w:val="16"/>
          <w:color w:val="211E1F"/>
        </w:rPr>
        <w:t></w:t>
      </w:r>
      <w:r>
        <w:rPr>
          <w:rFonts w:ascii="Arial" w:cs="Arial" w:eastAsia="Arial" w:hAnsi="Arial"/>
          <w:sz w:val="16"/>
          <w:szCs w:val="16"/>
          <w:color w:val="211E1F"/>
        </w:rPr>
        <w:t>ÜÄÒŁ~¾</w:t>
      </w:r>
      <w:r>
        <w:rPr>
          <w:rFonts w:ascii="PMingLiU" w:cs="PMingLiU" w:eastAsia="PMingLiU" w:hAnsi="PMingLiU"/>
          <w:sz w:val="16"/>
          <w:szCs w:val="16"/>
          <w:color w:val="211E1F"/>
        </w:rPr>
        <w:t></w:t>
      </w:r>
      <w:r>
        <w:rPr>
          <w:rFonts w:ascii="Arial" w:cs="Arial" w:eastAsia="Arial" w:hAnsi="Arial"/>
          <w:sz w:val="16"/>
          <w:szCs w:val="16"/>
          <w:color w:val="211E1F"/>
        </w:rPr>
        <w:t>Ł</w:t>
      </w:r>
      <w:r>
        <w:rPr>
          <w:rFonts w:ascii="PMingLiU" w:cs="PMingLiU" w:eastAsia="PMingLiU" w:hAnsi="PMingLiU"/>
          <w:sz w:val="16"/>
          <w:szCs w:val="16"/>
          <w:color w:val="211E1F"/>
        </w:rPr>
        <w:t/>
      </w:r>
      <w:r>
        <w:rPr>
          <w:rFonts w:ascii="Arial" w:cs="Arial" w:eastAsia="Arial" w:hAnsi="Arial"/>
          <w:sz w:val="16"/>
          <w:szCs w:val="16"/>
          <w:color w:val="211E1F"/>
        </w:rPr>
        <w:t>Äŕ</w:t>
      </w:r>
      <w:r>
        <w:rPr>
          <w:rFonts w:ascii="PMingLiU" w:cs="PMingLiU" w:eastAsia="PMingLiU" w:hAnsi="PMingLiU"/>
          <w:sz w:val="16"/>
          <w:szCs w:val="16"/>
          <w:color w:val="211E1F"/>
        </w:rPr>
        <w:t/>
      </w:r>
      <w:r>
        <w:rPr>
          <w:rFonts w:ascii="Arial" w:cs="Arial" w:eastAsia="Arial" w:hAnsi="Arial"/>
          <w:sz w:val="16"/>
          <w:szCs w:val="16"/>
          <w:color w:val="211E1F"/>
        </w:rPr>
        <w:t>¥~§Ò½~¾</w:t>
      </w:r>
    </w:p>
    <w:p>
      <w:pPr>
        <w:spacing w:after="0" w:line="141" w:lineRule="exact"/>
        <w:rPr>
          <w:sz w:val="20"/>
          <w:szCs w:val="20"/>
          <w:color w:val="auto"/>
        </w:rPr>
      </w:pPr>
    </w:p>
    <w:p>
      <w:pPr>
        <w:ind w:right="400"/>
        <w:spacing w:after="0" w:line="217" w:lineRule="exact"/>
        <w:rPr>
          <w:sz w:val="20"/>
          <w:szCs w:val="20"/>
          <w:color w:val="auto"/>
        </w:rPr>
      </w:pPr>
      <w:r>
        <w:rPr>
          <w:rFonts w:ascii="Arial" w:cs="Arial" w:eastAsia="Arial" w:hAnsi="Arial"/>
          <w:sz w:val="16"/>
          <w:szCs w:val="16"/>
          <w:color w:val="231F20"/>
        </w:rPr>
        <w:t>Ashok co-founded Mastech Digital and has contri</w:t>
      </w:r>
      <w:r>
        <w:rPr>
          <w:rFonts w:ascii="PMingLiU" w:cs="PMingLiU" w:eastAsia="PMingLiU" w:hAnsi="PMingLiU"/>
          <w:sz w:val="16"/>
          <w:szCs w:val="16"/>
          <w:color w:val="231F20"/>
        </w:rPr>
        <w:t></w:t>
      </w:r>
      <w:r>
        <w:rPr>
          <w:rFonts w:ascii="Arial" w:cs="Arial" w:eastAsia="Arial" w:hAnsi="Arial"/>
          <w:sz w:val="16"/>
          <w:szCs w:val="16"/>
          <w:color w:val="231F20"/>
        </w:rPr>
        <w:t xml:space="preserve">uted signiĝcantly to the growth of the organization. He has also angel-funded over 50 early-stage technology and ĝnancial </w:t>
      </w:r>
      <w:r>
        <w:rPr>
          <w:rFonts w:ascii="PMingLiU" w:cs="PMingLiU" w:eastAsia="PMingLiU" w:hAnsi="PMingLiU"/>
          <w:sz w:val="16"/>
          <w:szCs w:val="16"/>
          <w:color w:val="231F20"/>
        </w:rPr>
        <w:t></w:t>
      </w:r>
      <w:r>
        <w:rPr>
          <w:rFonts w:ascii="Arial" w:cs="Arial" w:eastAsia="Arial" w:hAnsi="Arial"/>
          <w:sz w:val="16"/>
          <w:szCs w:val="16"/>
          <w:color w:val="231F20"/>
        </w:rPr>
        <w:t>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626745</wp:posOffset>
            </wp:positionV>
            <wp:extent cx="890270" cy="841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0D528D"/>
        </w:rPr>
        <w:t>Arun Nayar (1, 2, 3)*</w:t>
      </w:r>
    </w:p>
    <w:p>
      <w:pPr>
        <w:spacing w:after="0" w:line="63" w:lineRule="exact"/>
        <w:rPr>
          <w:sz w:val="20"/>
          <w:szCs w:val="20"/>
          <w:color w:val="auto"/>
        </w:rPr>
      </w:pPr>
    </w:p>
    <w:p>
      <w:pPr>
        <w:spacing w:after="0" w:line="194" w:lineRule="exact"/>
        <w:rPr>
          <w:sz w:val="20"/>
          <w:szCs w:val="20"/>
          <w:color w:val="auto"/>
        </w:rPr>
      </w:pPr>
      <w:r>
        <w:rPr>
          <w:rFonts w:ascii="PMingLiU" w:cs="PMingLiU" w:eastAsia="PMingLiU" w:hAnsi="PMingLiU"/>
          <w:sz w:val="16"/>
          <w:szCs w:val="16"/>
          <w:color w:val="211E1F"/>
        </w:rPr>
        <w:t/>
      </w:r>
      <w:r>
        <w:rPr>
          <w:rFonts w:ascii="Arial" w:cs="Arial" w:eastAsia="Arial" w:hAnsi="Arial"/>
          <w:sz w:val="16"/>
          <w:szCs w:val="16"/>
          <w:color w:val="211E1F"/>
        </w:rPr>
        <w:t>§Ò</w:t>
      </w:r>
      <w:r>
        <w:rPr>
          <w:rFonts w:ascii="PMingLiU" w:cs="PMingLiU" w:eastAsia="PMingLiU" w:hAnsi="PMingLiU"/>
          <w:sz w:val="16"/>
          <w:szCs w:val="16"/>
          <w:color w:val="211E1F"/>
        </w:rPr>
        <w:t></w:t>
      </w:r>
      <w:r>
        <w:rPr>
          <w:rFonts w:ascii="Arial" w:cs="Arial" w:eastAsia="Arial" w:hAnsi="Arial"/>
          <w:sz w:val="16"/>
          <w:szCs w:val="16"/>
          <w:color w:val="211E1F"/>
        </w:rPr>
        <w:t>ÜÄÒ</w:t>
      </w:r>
    </w:p>
    <w:p>
      <w:pPr>
        <w:spacing w:after="0" w:line="141"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231F20"/>
        </w:rPr>
        <w:t>Arun currently serves on the board of directors of GFL Environmental Inc. (NYSE: GFL), and Amcor PLC (NYSE: AMCR). He is also a Senior Advisor to McKinsey and Company and serves on the Global Advisory Council of ServiceNow, Inc. (NYSE: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463550</wp:posOffset>
            </wp:positionV>
            <wp:extent cx="890270" cy="841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0270" cy="84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D528D"/>
        </w:rPr>
        <w:t>Vladimir Rak (1, 2, 3)*</w:t>
      </w:r>
    </w:p>
    <w:p>
      <w:pPr>
        <w:spacing w:after="0" w:line="63" w:lineRule="exact"/>
        <w:rPr>
          <w:sz w:val="20"/>
          <w:szCs w:val="20"/>
          <w:color w:val="auto"/>
        </w:rPr>
      </w:pPr>
    </w:p>
    <w:p>
      <w:pPr>
        <w:spacing w:after="0" w:line="194" w:lineRule="exact"/>
        <w:rPr>
          <w:sz w:val="20"/>
          <w:szCs w:val="20"/>
          <w:color w:val="auto"/>
        </w:rPr>
      </w:pPr>
      <w:r>
        <w:rPr>
          <w:rFonts w:ascii="PMingLiU" w:cs="PMingLiU" w:eastAsia="PMingLiU" w:hAnsi="PMingLiU"/>
          <w:sz w:val="16"/>
          <w:szCs w:val="16"/>
          <w:color w:val="211E1F"/>
        </w:rPr>
        <w:t/>
      </w:r>
      <w:r>
        <w:rPr>
          <w:rFonts w:ascii="Arial" w:cs="Arial" w:eastAsia="Arial" w:hAnsi="Arial"/>
          <w:sz w:val="16"/>
          <w:szCs w:val="16"/>
          <w:color w:val="211E1F"/>
        </w:rPr>
        <w:t>§Ò</w:t>
      </w:r>
      <w:r>
        <w:rPr>
          <w:rFonts w:ascii="PMingLiU" w:cs="PMingLiU" w:eastAsia="PMingLiU" w:hAnsi="PMingLiU"/>
          <w:sz w:val="16"/>
          <w:szCs w:val="16"/>
          <w:color w:val="211E1F"/>
        </w:rPr>
        <w:t></w:t>
      </w:r>
      <w:r>
        <w:rPr>
          <w:rFonts w:ascii="Arial" w:cs="Arial" w:eastAsia="Arial" w:hAnsi="Arial"/>
          <w:sz w:val="16"/>
          <w:szCs w:val="16"/>
          <w:color w:val="211E1F"/>
        </w:rPr>
        <w:t>ÜÄÒ</w:t>
      </w:r>
    </w:p>
    <w:p>
      <w:pPr>
        <w:spacing w:after="0" w:line="141"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231F20"/>
        </w:rPr>
        <w:t>Vlad is the Executive Vice President and Chief ]echnology Ofĝcer of DICK’s Sporting Goods. He has over twenty-ĝve years of technology and senior leadership experience.</w:t>
      </w:r>
    </w:p>
    <w:p>
      <w:pPr>
        <w:spacing w:after="0" w:line="2290" w:lineRule="exact"/>
        <w:rPr>
          <w:sz w:val="20"/>
          <w:szCs w:val="20"/>
          <w:color w:val="auto"/>
        </w:rPr>
      </w:pPr>
    </w:p>
    <w:p>
      <w:pPr>
        <w:sectPr>
          <w:pgSz w:w="11880" w:h="15480" w:orient="portrait"/>
          <w:cols w:equalWidth="0" w:num="2">
            <w:col w:w="6520" w:space="720"/>
            <w:col w:w="3540"/>
          </w:cols>
          <w:pgMar w:left="700" w:top="1084"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680"/>
        <w:spacing w:after="0"/>
        <w:rPr>
          <w:sz w:val="20"/>
          <w:szCs w:val="20"/>
          <w:color w:val="auto"/>
        </w:rPr>
      </w:pPr>
      <w:r>
        <w:rPr>
          <w:rFonts w:ascii="Arial" w:cs="Arial" w:eastAsia="Arial" w:hAnsi="Arial"/>
          <w:sz w:val="17"/>
          <w:szCs w:val="17"/>
          <w:color w:val="211E1F"/>
        </w:rPr>
        <w:t>3</w:t>
      </w:r>
    </w:p>
    <w:p>
      <w:pPr>
        <w:spacing w:after="0" w:line="20" w:lineRule="exact"/>
        <w:rPr>
          <w:sz w:val="20"/>
          <w:szCs w:val="20"/>
          <w:color w:val="auto"/>
        </w:rPr>
      </w:pPr>
    </w:p>
    <w:p>
      <w:pPr>
        <w:sectPr>
          <w:pgSz w:w="11880" w:h="15480" w:orient="portrait"/>
          <w:cols w:equalWidth="0" w:num="1">
            <w:col w:w="10780"/>
          </w:cols>
          <w:pgMar w:left="700" w:top="1084" w:right="400" w:bottom="0" w:gutter="0" w:footer="0" w:header="0"/>
          <w:type w:val="continuous"/>
        </w:sectPr>
      </w:pPr>
    </w:p>
    <w:bookmarkStart w:id="5" w:name="page6"/>
    <w:bookmarkEnd w:id="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4067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43800" cy="406781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020303"/>
        </w:rPr>
        <w:t>Dear Shareholders,</w:t>
      </w:r>
    </w:p>
    <w:p>
      <w:pPr>
        <w:spacing w:after="0" w:line="177" w:lineRule="exact"/>
        <w:rPr>
          <w:sz w:val="20"/>
          <w:szCs w:val="20"/>
          <w:color w:val="auto"/>
        </w:rPr>
      </w:pPr>
    </w:p>
    <w:p>
      <w:pPr>
        <w:ind w:right="4380"/>
        <w:spacing w:after="0" w:line="239" w:lineRule="exact"/>
        <w:rPr>
          <w:sz w:val="20"/>
          <w:szCs w:val="20"/>
          <w:color w:val="auto"/>
        </w:rPr>
      </w:pPr>
      <w:r>
        <w:rPr>
          <w:rFonts w:ascii="Arial" w:cs="Arial" w:eastAsia="Arial" w:hAnsi="Arial"/>
          <w:sz w:val="13"/>
          <w:szCs w:val="13"/>
          <w:color w:val="231F20"/>
        </w:rPr>
        <w:t>It is an honor and privilege to address you as the President and Chief Execu-</w:t>
      </w:r>
      <w:r>
        <w:rPr>
          <w:rFonts w:ascii="Arial" w:cs="Arial" w:eastAsia="Arial" w:hAnsi="Arial"/>
          <w:sz w:val="13"/>
          <w:szCs w:val="13"/>
          <w:color w:val="231F20"/>
        </w:rPr>
        <w:t>Ü§ë</w:t>
      </w:r>
      <w:r>
        <w:rPr>
          <w:rFonts w:ascii="PMingLiU" w:cs="PMingLiU" w:eastAsia="PMingLiU" w:hAnsi="PMingLiU"/>
          <w:sz w:val="13"/>
          <w:szCs w:val="13"/>
          <w:color w:val="231F20"/>
        </w:rPr>
        <w:t></w:t>
      </w:r>
      <w:r>
        <w:rPr>
          <w:rFonts w:ascii="Arial" w:cs="Arial" w:eastAsia="Arial" w:hAnsi="Arial"/>
          <w:sz w:val="13"/>
          <w:szCs w:val="13"/>
          <w:color w:val="231F20"/>
        </w:rPr>
        <w:t>ŁE ĝ</w:t>
      </w:r>
      <w:r>
        <w:rPr>
          <w:rFonts w:ascii="PMingLiU" w:cs="PMingLiU" w:eastAsia="PMingLiU" w:hAnsi="PMingLiU"/>
          <w:sz w:val="13"/>
          <w:szCs w:val="13"/>
          <w:color w:val="231F20"/>
        </w:rPr>
        <w:t></w:t>
      </w:r>
      <w:r>
        <w:rPr>
          <w:rFonts w:ascii="Arial" w:cs="Arial" w:eastAsia="Arial" w:hAnsi="Arial"/>
          <w:sz w:val="13"/>
          <w:szCs w:val="13"/>
          <w:color w:val="231F20"/>
        </w:rPr>
        <w:t>ÒŁÄ Ł&gt;~ÖÜ</w:t>
      </w:r>
      <w:r>
        <w:rPr>
          <w:rFonts w:ascii="PMingLiU" w:cs="PMingLiU" w:eastAsia="PMingLiU" w:hAnsi="PMingLiU"/>
          <w:sz w:val="13"/>
          <w:szCs w:val="13"/>
          <w:color w:val="231F20"/>
        </w:rPr>
        <w:t></w:t>
      </w:r>
      <w:r>
        <w:rPr>
          <w:rFonts w:ascii="Arial" w:cs="Arial" w:eastAsia="Arial" w:hAnsi="Arial"/>
          <w:sz w:val="13"/>
          <w:szCs w:val="13"/>
          <w:color w:val="231F20"/>
        </w:rPr>
        <w:t>¥Ł</w:t>
      </w:r>
      <w:r>
        <w:rPr>
          <w:rFonts w:ascii="PMingLiU" w:cs="PMingLiU" w:eastAsia="PMingLiU" w:hAnsi="PMingLiU"/>
          <w:sz w:val="13"/>
          <w:szCs w:val="13"/>
          <w:color w:val="231F20"/>
        </w:rPr>
        <w:t/>
      </w:r>
      <w:r>
        <w:rPr>
          <w:rFonts w:ascii="Arial" w:cs="Arial" w:eastAsia="Arial" w:hAnsi="Arial"/>
          <w:sz w:val="13"/>
          <w:szCs w:val="13"/>
          <w:color w:val="231F20"/>
        </w:rPr>
        <w:t>§¡§Ü~·ńŁm¥</w:t>
      </w:r>
      <w:r>
        <w:rPr>
          <w:rFonts w:ascii="PMingLiU" w:cs="PMingLiU" w:eastAsia="PMingLiU" w:hAnsi="PMingLiU"/>
          <w:sz w:val="13"/>
          <w:szCs w:val="13"/>
          <w:color w:val="231F20"/>
        </w:rPr>
        <w:t></w:t>
      </w:r>
      <w:r>
        <w:rPr>
          <w:rFonts w:ascii="Arial" w:cs="Arial" w:eastAsia="Arial" w:hAnsi="Arial"/>
          <w:sz w:val="13"/>
          <w:szCs w:val="13"/>
          <w:color w:val="231F20"/>
        </w:rPr>
        <w:t>¾Ł*ŁÖÜ</w:t>
      </w:r>
      <w:r>
        <w:rPr>
          <w:rFonts w:ascii="PMingLiU" w:cs="PMingLiU" w:eastAsia="PMingLiU" w:hAnsi="PMingLiU"/>
          <w:sz w:val="13"/>
          <w:szCs w:val="13"/>
          <w:color w:val="231F20"/>
        </w:rPr>
        <w:t></w:t>
      </w:r>
      <w:r>
        <w:rPr>
          <w:rFonts w:ascii="Arial" w:cs="Arial" w:eastAsia="Arial" w:hAnsi="Arial"/>
          <w:sz w:val="13"/>
          <w:szCs w:val="13"/>
          <w:color w:val="231F20"/>
        </w:rPr>
        <w:t>ÏÏ</w:t>
      </w:r>
      <w:r>
        <w:rPr>
          <w:rFonts w:ascii="PMingLiU" w:cs="PMingLiU" w:eastAsia="PMingLiU" w:hAnsi="PMingLiU"/>
          <w:sz w:val="13"/>
          <w:szCs w:val="13"/>
          <w:color w:val="231F20"/>
        </w:rPr>
        <w:t></w:t>
      </w:r>
      <w:r>
        <w:rPr>
          <w:rFonts w:ascii="Arial" w:cs="Arial" w:eastAsia="Arial" w:hAnsi="Arial"/>
          <w:sz w:val="13"/>
          <w:szCs w:val="13"/>
          <w:color w:val="231F20"/>
        </w:rPr>
        <w:t>Ł§¾ÜÄŁÜ¥§ÖŁÒÄ·</w:t>
      </w:r>
      <w:r>
        <w:rPr>
          <w:rFonts w:ascii="PMingLiU" w:cs="PMingLiU" w:eastAsia="PMingLiU" w:hAnsi="PMingLiU"/>
          <w:sz w:val="13"/>
          <w:szCs w:val="13"/>
          <w:color w:val="231F20"/>
        </w:rPr>
        <w:t></w:t>
      </w:r>
      <w:r>
        <w:rPr>
          <w:rFonts w:ascii="Arial" w:cs="Arial" w:eastAsia="Arial" w:hAnsi="Arial"/>
          <w:sz w:val="13"/>
          <w:szCs w:val="13"/>
          <w:color w:val="231F20"/>
        </w:rPr>
        <w:t>Ł~ÜŁÜ¥</w:t>
      </w:r>
      <w:r>
        <w:rPr>
          <w:rFonts w:ascii="PMingLiU" w:cs="PMingLiU" w:eastAsia="PMingLiU" w:hAnsi="PMingLiU"/>
          <w:sz w:val="13"/>
          <w:szCs w:val="13"/>
          <w:color w:val="231F20"/>
        </w:rPr>
        <w:t></w:t>
      </w:r>
      <w:r>
        <w:rPr>
          <w:rFonts w:ascii="Arial" w:cs="Arial" w:eastAsia="Arial" w:hAnsi="Arial"/>
          <w:sz w:val="13"/>
          <w:szCs w:val="13"/>
          <w:color w:val="231F20"/>
        </w:rPr>
        <w:t xml:space="preserve">ŁÖÜ~ÒÜŁÄ Ł </w:t>
      </w:r>
      <w:r>
        <w:rPr>
          <w:rFonts w:ascii="Arial" w:cs="Arial" w:eastAsia="Arial" w:hAnsi="Arial"/>
          <w:sz w:val="13"/>
          <w:szCs w:val="13"/>
          <w:color w:val="231F20"/>
        </w:rPr>
        <w:t>2025, I outlined three transformation priorities: mobilizing our leadership team, establishing clarity on where we are headed, and moving our organiza-</w:t>
      </w:r>
      <w:r>
        <w:rPr>
          <w:rFonts w:ascii="Arial" w:cs="Arial" w:eastAsia="Arial" w:hAnsi="Arial"/>
          <w:sz w:val="13"/>
          <w:szCs w:val="13"/>
          <w:color w:val="231F20"/>
        </w:rPr>
        <w:t>Ü§Ä¾Ł§¾ŁÜ¥~ÜŁ</w:t>
      </w:r>
      <w:r>
        <w:rPr>
          <w:rFonts w:ascii="PMingLiU" w:cs="PMingLiU" w:eastAsia="PMingLiU" w:hAnsi="PMingLiU"/>
          <w:sz w:val="13"/>
          <w:szCs w:val="13"/>
          <w:color w:val="231F20"/>
        </w:rPr>
        <w:t></w:t>
      </w:r>
      <w:r>
        <w:rPr>
          <w:rFonts w:ascii="Arial" w:cs="Arial" w:eastAsia="Arial" w:hAnsi="Arial"/>
          <w:sz w:val="13"/>
          <w:szCs w:val="13"/>
          <w:color w:val="231F20"/>
        </w:rPr>
        <w:t>§Ò</w:t>
      </w:r>
      <w:r>
        <w:rPr>
          <w:rFonts w:ascii="PMingLiU" w:cs="PMingLiU" w:eastAsia="PMingLiU" w:hAnsi="PMingLiU"/>
          <w:sz w:val="13"/>
          <w:szCs w:val="13"/>
          <w:color w:val="231F20"/>
        </w:rPr>
        <w:t></w:t>
      </w:r>
      <w:r>
        <w:rPr>
          <w:rFonts w:ascii="Arial" w:cs="Arial" w:eastAsia="Arial" w:hAnsi="Arial"/>
          <w:sz w:val="13"/>
          <w:szCs w:val="13"/>
          <w:color w:val="231F20"/>
        </w:rPr>
        <w:t>Ü§Ä¾ńŁ</w:t>
      </w:r>
      <w:r>
        <w:rPr>
          <w:rFonts w:ascii="PMingLiU" w:cs="PMingLiU" w:eastAsia="PMingLiU" w:hAnsi="PMingLiU"/>
          <w:sz w:val="13"/>
          <w:szCs w:val="13"/>
          <w:color w:val="231F20"/>
        </w:rPr>
        <w:t/>
      </w:r>
      <w:r>
        <w:rPr>
          <w:rFonts w:ascii="Arial" w:cs="Arial" w:eastAsia="Arial" w:hAnsi="Arial"/>
          <w:sz w:val="13"/>
          <w:szCs w:val="13"/>
          <w:color w:val="231F20"/>
        </w:rPr>
        <w:t>ÖŁ*ŁÒ</w:t>
      </w:r>
      <w:r>
        <w:rPr>
          <w:rFonts w:ascii="PMingLiU" w:cs="PMingLiU" w:eastAsia="PMingLiU" w:hAnsi="PMingLiU"/>
          <w:sz w:val="13"/>
          <w:szCs w:val="13"/>
          <w:color w:val="231F20"/>
        </w:rPr>
        <w:t></w:t>
      </w:r>
      <w:r>
        <w:rPr>
          <w:rFonts w:ascii="Arial" w:cs="Arial" w:eastAsia="Arial" w:hAnsi="Arial"/>
          <w:sz w:val="13"/>
          <w:szCs w:val="13"/>
          <w:color w:val="231F20"/>
        </w:rPr>
        <w:t>Ğ</w:t>
      </w:r>
      <w:r>
        <w:rPr>
          <w:rFonts w:ascii="PMingLiU" w:cs="PMingLiU" w:eastAsia="PMingLiU" w:hAnsi="PMingLiU"/>
          <w:sz w:val="13"/>
          <w:szCs w:val="13"/>
          <w:color w:val="231F20"/>
        </w:rPr>
        <w:t></w:t>
      </w:r>
      <w:r>
        <w:rPr>
          <w:rFonts w:ascii="Arial" w:cs="Arial" w:eastAsia="Arial" w:hAnsi="Arial"/>
          <w:sz w:val="13"/>
          <w:szCs w:val="13"/>
          <w:color w:val="231F20"/>
        </w:rPr>
        <w:t>ÜŁÄ¾ŁÜ¥</w:t>
      </w:r>
      <w:r>
        <w:rPr>
          <w:rFonts w:ascii="PMingLiU" w:cs="PMingLiU" w:eastAsia="PMingLiU" w:hAnsi="PMingLiU"/>
          <w:sz w:val="13"/>
          <w:szCs w:val="13"/>
          <w:color w:val="231F20"/>
        </w:rPr>
        <w:t></w:t>
      </w:r>
      <w:r>
        <w:rPr>
          <w:rFonts w:ascii="Arial" w:cs="Arial" w:eastAsia="Arial" w:hAnsi="Arial"/>
          <w:sz w:val="13"/>
          <w:szCs w:val="13"/>
          <w:color w:val="231F20"/>
        </w:rPr>
        <w:t>Łò</w:t>
      </w:r>
      <w:r>
        <w:rPr>
          <w:rFonts w:ascii="PMingLiU" w:cs="PMingLiU" w:eastAsia="PMingLiU" w:hAnsi="PMingLiU"/>
          <w:sz w:val="13"/>
          <w:szCs w:val="13"/>
          <w:color w:val="231F20"/>
        </w:rPr>
        <w:t></w:t>
      </w:r>
      <w:r>
        <w:rPr>
          <w:rFonts w:ascii="Arial" w:cs="Arial" w:eastAsia="Arial" w:hAnsi="Arial"/>
          <w:sz w:val="13"/>
          <w:szCs w:val="13"/>
          <w:color w:val="231F20"/>
        </w:rPr>
        <w:t>~ÒŁÜ¥~ÜŁ¥~ÖŁÏ~ÖÖ</w:t>
      </w:r>
      <w:r>
        <w:rPr>
          <w:rFonts w:ascii="PMingLiU" w:cs="PMingLiU" w:eastAsia="PMingLiU" w:hAnsi="PMingLiU"/>
          <w:sz w:val="13"/>
          <w:szCs w:val="13"/>
          <w:color w:val="231F20"/>
        </w:rPr>
        <w:t></w:t>
      </w:r>
      <w:r>
        <w:rPr>
          <w:rFonts w:ascii="Arial" w:cs="Arial" w:eastAsia="Arial" w:hAnsi="Arial"/>
          <w:sz w:val="13"/>
          <w:szCs w:val="13"/>
          <w:color w:val="231F20"/>
        </w:rPr>
        <w:t>ŅŁ*Ł~½ŁÏÒÄà</w:t>
      </w:r>
      <w:r>
        <w:rPr>
          <w:rFonts w:ascii="PMingLiU" w:cs="PMingLiU" w:eastAsia="PMingLiU" w:hAnsi="PMingLiU"/>
          <w:sz w:val="13"/>
          <w:szCs w:val="13"/>
          <w:color w:val="231F20"/>
        </w:rPr>
        <w:t></w:t>
      </w:r>
      <w:r>
        <w:rPr>
          <w:rFonts w:ascii="Arial" w:cs="Arial" w:eastAsia="Arial" w:hAnsi="Arial"/>
          <w:sz w:val="13"/>
          <w:szCs w:val="13"/>
          <w:color w:val="231F20"/>
        </w:rPr>
        <w:t xml:space="preserve">ŁÜÄŁ </w:t>
      </w:r>
      <w:r>
        <w:rPr>
          <w:rFonts w:ascii="Arial" w:cs="Arial" w:eastAsia="Arial" w:hAnsi="Arial"/>
          <w:sz w:val="13"/>
          <w:szCs w:val="13"/>
          <w:color w:val="231F20"/>
        </w:rPr>
        <w:t>say we made meaningful progress on each front – even as market conditions remained challenging and required us to exercise discipline at every turn.</w:t>
      </w:r>
    </w:p>
    <w:p>
      <w:pPr>
        <w:spacing w:after="0" w:line="251" w:lineRule="exact"/>
        <w:rPr>
          <w:sz w:val="20"/>
          <w:szCs w:val="20"/>
          <w:color w:val="auto"/>
        </w:rPr>
      </w:pPr>
    </w:p>
    <w:p>
      <w:pPr>
        <w:ind w:right="4360"/>
        <w:spacing w:after="0" w:line="239" w:lineRule="exact"/>
        <w:rPr>
          <w:sz w:val="20"/>
          <w:szCs w:val="20"/>
          <w:color w:val="auto"/>
        </w:rPr>
      </w:pPr>
      <w:r>
        <w:rPr>
          <w:rFonts w:ascii="Arial" w:cs="Arial" w:eastAsia="Arial" w:hAnsi="Arial"/>
          <w:sz w:val="14"/>
          <w:szCs w:val="14"/>
          <w:color w:val="231F20"/>
        </w:rPr>
        <w:t>ĤĢĤħŁì~ÖŅŁ§¾ŁÜ¥</w:t>
      </w:r>
      <w:r>
        <w:rPr>
          <w:rFonts w:ascii="PMingLiU" w:cs="PMingLiU" w:eastAsia="PMingLiU" w:hAnsi="PMingLiU"/>
          <w:sz w:val="14"/>
          <w:szCs w:val="14"/>
          <w:color w:val="231F20"/>
        </w:rPr>
        <w:t></w:t>
      </w:r>
      <w:r>
        <w:rPr>
          <w:rFonts w:ascii="Arial" w:cs="Arial" w:eastAsia="Arial" w:hAnsi="Arial"/>
          <w:sz w:val="14"/>
          <w:szCs w:val="14"/>
          <w:color w:val="231F20"/>
        </w:rPr>
        <w:t>ŁÜÒà</w:t>
      </w:r>
      <w:r>
        <w:rPr>
          <w:rFonts w:ascii="PMingLiU" w:cs="PMingLiU" w:eastAsia="PMingLiU" w:hAnsi="PMingLiU"/>
          <w:sz w:val="14"/>
          <w:szCs w:val="14"/>
          <w:color w:val="231F20"/>
        </w:rPr>
        <w:t></w:t>
      </w:r>
      <w:r>
        <w:rPr>
          <w:rFonts w:ascii="Arial" w:cs="Arial" w:eastAsia="Arial" w:hAnsi="Arial"/>
          <w:sz w:val="14"/>
          <w:szCs w:val="14"/>
          <w:color w:val="231F20"/>
        </w:rPr>
        <w:t>ÖÜŁÖ</w:t>
      </w:r>
      <w:r>
        <w:rPr>
          <w:rFonts w:ascii="PMingLiU" w:cs="PMingLiU" w:eastAsia="PMingLiU" w:hAnsi="PMingLiU"/>
          <w:sz w:val="14"/>
          <w:szCs w:val="14"/>
          <w:color w:val="231F20"/>
        </w:rPr>
        <w:t></w:t>
      </w:r>
      <w:r>
        <w:rPr>
          <w:rFonts w:ascii="Arial" w:cs="Arial" w:eastAsia="Arial" w:hAnsi="Arial"/>
          <w:sz w:val="14"/>
          <w:szCs w:val="14"/>
          <w:color w:val="231F20"/>
        </w:rPr>
        <w:t>¾Ö</w:t>
      </w:r>
      <w:r>
        <w:rPr>
          <w:rFonts w:ascii="PMingLiU" w:cs="PMingLiU" w:eastAsia="PMingLiU" w:hAnsi="PMingLiU"/>
          <w:sz w:val="14"/>
          <w:szCs w:val="14"/>
          <w:color w:val="231F20"/>
        </w:rPr>
        <w:t></w:t>
      </w:r>
      <w:r>
        <w:rPr>
          <w:rFonts w:ascii="Arial" w:cs="Arial" w:eastAsia="Arial" w:hAnsi="Arial"/>
          <w:sz w:val="14"/>
          <w:szCs w:val="14"/>
          <w:color w:val="231F20"/>
        </w:rPr>
        <w:t>ŅŁ~Ł Äà¾</w:t>
      </w:r>
      <w:r>
        <w:rPr>
          <w:rFonts w:ascii="PMingLiU" w:cs="PMingLiU" w:eastAsia="PMingLiU" w:hAnsi="PMingLiU"/>
          <w:sz w:val="14"/>
          <w:szCs w:val="14"/>
          <w:color w:val="231F20"/>
        </w:rPr>
        <w:t></w:t>
      </w:r>
      <w:r>
        <w:rPr>
          <w:rFonts w:ascii="Arial" w:cs="Arial" w:eastAsia="Arial" w:hAnsi="Arial"/>
          <w:sz w:val="14"/>
          <w:szCs w:val="14"/>
          <w:color w:val="231F20"/>
        </w:rPr>
        <w:t>~Ü§Ä¾~·Łò</w:t>
      </w:r>
      <w:r>
        <w:rPr>
          <w:rFonts w:ascii="PMingLiU" w:cs="PMingLiU" w:eastAsia="PMingLiU" w:hAnsi="PMingLiU"/>
          <w:sz w:val="14"/>
          <w:szCs w:val="14"/>
          <w:color w:val="231F20"/>
        </w:rPr>
        <w:t></w:t>
      </w:r>
      <w:r>
        <w:rPr>
          <w:rFonts w:ascii="Arial" w:cs="Arial" w:eastAsia="Arial" w:hAnsi="Arial"/>
          <w:sz w:val="14"/>
          <w:szCs w:val="14"/>
          <w:color w:val="231F20"/>
        </w:rPr>
        <w:t>~ÒńŁm</w:t>
      </w:r>
      <w:r>
        <w:rPr>
          <w:rFonts w:ascii="PMingLiU" w:cs="PMingLiU" w:eastAsia="PMingLiU" w:hAnsi="PMingLiU"/>
          <w:sz w:val="14"/>
          <w:szCs w:val="14"/>
          <w:color w:val="231F20"/>
        </w:rPr>
        <w:t></w:t>
      </w:r>
      <w:r>
        <w:rPr>
          <w:rFonts w:ascii="Arial" w:cs="Arial" w:eastAsia="Arial" w:hAnsi="Arial"/>
          <w:sz w:val="14"/>
          <w:szCs w:val="14"/>
          <w:color w:val="231F20"/>
        </w:rPr>
        <w:t>ŁÏ</w:t>
      </w:r>
      <w:r>
        <w:rPr>
          <w:rFonts w:ascii="PMingLiU" w:cs="PMingLiU" w:eastAsia="PMingLiU" w:hAnsi="PMingLiU"/>
          <w:sz w:val="14"/>
          <w:szCs w:val="14"/>
          <w:color w:val="231F20"/>
        </w:rPr>
        <w:t></w:t>
      </w:r>
      <w:r>
        <w:rPr>
          <w:rFonts w:ascii="Arial" w:cs="Arial" w:eastAsia="Arial" w:hAnsi="Arial"/>
          <w:sz w:val="14"/>
          <w:szCs w:val="14"/>
          <w:color w:val="231F20"/>
        </w:rPr>
        <w:t>ÒÖ</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 xml:space="preserve">ŁÜ¥ÒÄà¡¥Ł </w:t>
      </w:r>
      <w:r>
        <w:rPr>
          <w:rFonts w:ascii="Arial" w:cs="Arial" w:eastAsia="Arial" w:hAnsi="Arial"/>
          <w:sz w:val="14"/>
          <w:szCs w:val="14"/>
          <w:color w:val="231F20"/>
        </w:rPr>
        <w:t>market headwinds and acted with intention to not just survive but thrive in a</w:t>
      </w:r>
      <w:r>
        <w:rPr>
          <w:sz w:val="1"/>
          <w:szCs w:val="1"/>
          <w:color w:val="auto"/>
        </w:rPr>
        <w:drawing>
          <wp:inline distT="0" distB="0" distL="0" distR="0">
            <wp:extent cx="18415" cy="1130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415" cy="113030"/>
                    </a:xfrm>
                    <a:prstGeom prst="rect">
                      <a:avLst/>
                    </a:prstGeom>
                    <a:noFill/>
                    <a:ln>
                      <a:noFill/>
                    </a:ln>
                  </pic:spPr>
                </pic:pic>
              </a:graphicData>
            </a:graphic>
          </wp:inline>
        </w:drawing>
      </w:r>
      <w:r>
        <w:rPr>
          <w:rFonts w:ascii="Arial" w:cs="Arial" w:eastAsia="Arial" w:hAnsi="Arial"/>
          <w:sz w:val="14"/>
          <w:szCs w:val="14"/>
          <w:color w:val="231F20"/>
        </w:rPr>
        <w:t xml:space="preserve"> ò</w:t>
      </w:r>
      <w:r>
        <w:rPr>
          <w:rFonts w:ascii="PMingLiU" w:cs="PMingLiU" w:eastAsia="PMingLiU" w:hAnsi="PMingLiU"/>
          <w:sz w:val="14"/>
          <w:szCs w:val="14"/>
          <w:color w:val="231F20"/>
        </w:rPr>
        <w:t></w:t>
      </w:r>
      <w:r>
        <w:rPr>
          <w:rFonts w:ascii="Arial" w:cs="Arial" w:eastAsia="Arial" w:hAnsi="Arial"/>
          <w:sz w:val="14"/>
          <w:szCs w:val="14"/>
          <w:color w:val="231F20"/>
        </w:rPr>
        <w:t>~ÒŁÄ ŁÜÒ~¾Ö§Ü§Ä¾ńŁm</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ÖÜÒà</w:t>
      </w:r>
      <w:r>
        <w:rPr>
          <w:rFonts w:ascii="PMingLiU" w:cs="PMingLiU" w:eastAsia="PMingLiU" w:hAnsi="PMingLiU"/>
          <w:sz w:val="14"/>
          <w:szCs w:val="14"/>
          <w:color w:val="231F20"/>
        </w:rPr>
        <w:t></w:t>
      </w:r>
      <w:r>
        <w:rPr>
          <w:rFonts w:ascii="Arial" w:cs="Arial" w:eastAsia="Arial" w:hAnsi="Arial"/>
          <w:sz w:val="14"/>
          <w:szCs w:val="14"/>
          <w:color w:val="231F20"/>
        </w:rPr>
        <w:t>ÜàÒ</w:t>
      </w:r>
      <w:r>
        <w:rPr>
          <w:rFonts w:ascii="PMingLiU" w:cs="PMingLiU" w:eastAsia="PMingLiU" w:hAnsi="PMingLiU"/>
          <w:sz w:val="14"/>
          <w:szCs w:val="14"/>
          <w:color w:val="231F20"/>
        </w:rPr>
        <w:t></w:t>
      </w:r>
      <w:r>
        <w:rPr>
          <w:rFonts w:ascii="Arial" w:cs="Arial" w:eastAsia="Arial" w:hAnsi="Arial"/>
          <w:sz w:val="14"/>
          <w:szCs w:val="14"/>
          <w:color w:val="231F20"/>
        </w:rPr>
        <w:t>ŁÄàÒŁÄÒ¡~¾§ø~Ü§Ä¾ŅŁàÏ¡Ò~</w:t>
      </w:r>
      <w:r>
        <w:rPr>
          <w:rFonts w:ascii="PMingLiU" w:cs="PMingLiU" w:eastAsia="PMingLiU" w:hAnsi="PMingLiU"/>
          <w:sz w:val="14"/>
          <w:szCs w:val="14"/>
          <w:color w:val="231F20"/>
        </w:rPr>
        <w:t></w:t>
      </w:r>
      <w:r>
        <w:rPr>
          <w:rFonts w:ascii="Arial" w:cs="Arial" w:eastAsia="Arial" w:hAnsi="Arial"/>
          <w:sz w:val="14"/>
          <w:szCs w:val="14"/>
          <w:color w:val="231F20"/>
        </w:rPr>
        <w:t>ŁÄàÒŁ·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ÒÖ¥§ÏŁ team, sharpened our investment thesis, and began building the capabilities Ü¥~ÜŁì</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Łì§··Ł</w:t>
      </w:r>
      <w:r>
        <w:rPr>
          <w:rFonts w:ascii="PMingLiU" w:cs="PMingLiU" w:eastAsia="PMingLiU" w:hAnsi="PMingLiU"/>
          <w:sz w:val="14"/>
          <w:szCs w:val="14"/>
          <w:color w:val="231F20"/>
        </w:rPr>
        <w:t></w:t>
      </w:r>
      <w:r>
        <w:rPr>
          <w:rFonts w:ascii="Arial" w:cs="Arial" w:eastAsia="Arial" w:hAnsi="Arial"/>
          <w:sz w:val="14"/>
          <w:szCs w:val="14"/>
          <w:color w:val="231F20"/>
        </w:rPr>
        <w:t>ĝ¾</w:t>
      </w:r>
      <w:r>
        <w:rPr>
          <w:rFonts w:ascii="PMingLiU" w:cs="PMingLiU" w:eastAsia="PMingLiU" w:hAnsi="PMingLiU"/>
          <w:sz w:val="14"/>
          <w:szCs w:val="14"/>
          <w:color w:val="231F20"/>
        </w:rPr>
        <w:t></w:t>
      </w:r>
      <w:r>
        <w:rPr>
          <w:rFonts w:ascii="Arial" w:cs="Arial" w:eastAsia="Arial" w:hAnsi="Arial"/>
          <w:sz w:val="14"/>
          <w:szCs w:val="14"/>
          <w:color w:val="231F20"/>
        </w:rPr>
        <w:t>Ł&gt;~ÖÜ</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
      </w:r>
      <w:r>
        <w:rPr>
          <w:rFonts w:ascii="Arial" w:cs="Arial" w:eastAsia="Arial" w:hAnsi="Arial"/>
          <w:sz w:val="14"/>
          <w:szCs w:val="14"/>
          <w:color w:val="231F20"/>
        </w:rPr>
        <w:t>§¡§Ü~·ŪÖŁ</w:t>
      </w:r>
      <w:r>
        <w:rPr>
          <w:rFonts w:ascii="PMingLiU" w:cs="PMingLiU" w:eastAsia="PMingLiU" w:hAnsi="PMingLiU"/>
          <w:sz w:val="14"/>
          <w:szCs w:val="14"/>
          <w:color w:val="231F20"/>
        </w:rPr>
        <w:t></w:t>
      </w:r>
      <w:r>
        <w:rPr>
          <w:rFonts w:ascii="Arial" w:cs="Arial" w:eastAsia="Arial" w:hAnsi="Arial"/>
          <w:sz w:val="14"/>
          <w:szCs w:val="14"/>
          <w:color w:val="231F20"/>
        </w:rPr>
        <w:t>Ä½Ï</w:t>
      </w:r>
      <w:r>
        <w:rPr>
          <w:rFonts w:ascii="PMingLiU" w:cs="PMingLiU" w:eastAsia="PMingLiU" w:hAnsi="PMingLiU"/>
          <w:sz w:val="14"/>
          <w:szCs w:val="14"/>
          <w:color w:val="231F20"/>
        </w:rPr>
        <w:t></w:t>
      </w:r>
      <w:r>
        <w:rPr>
          <w:rFonts w:ascii="Arial" w:cs="Arial" w:eastAsia="Arial" w:hAnsi="Arial"/>
          <w:sz w:val="14"/>
          <w:szCs w:val="14"/>
          <w:color w:val="231F20"/>
        </w:rPr>
        <w:t>Ü§Ü§ë</w:t>
      </w:r>
      <w:r>
        <w:rPr>
          <w:rFonts w:ascii="PMingLiU" w:cs="PMingLiU" w:eastAsia="PMingLiU" w:hAnsi="PMingLiU"/>
          <w:sz w:val="14"/>
          <w:szCs w:val="14"/>
          <w:color w:val="231F20"/>
        </w:rPr>
        <w:t></w:t>
      </w:r>
      <w:r>
        <w:rPr>
          <w:rFonts w:ascii="Arial" w:cs="Arial" w:eastAsia="Arial" w:hAnsi="Arial"/>
          <w:sz w:val="14"/>
          <w:szCs w:val="14"/>
          <w:color w:val="231F20"/>
        </w:rPr>
        <w:t>ŁÏÄÖ§Ü§Ä¾Ł ÄÒŁò</w:t>
      </w:r>
      <w:r>
        <w:rPr>
          <w:rFonts w:ascii="PMingLiU" w:cs="PMingLiU" w:eastAsia="PMingLiU" w:hAnsi="PMingLiU"/>
          <w:sz w:val="14"/>
          <w:szCs w:val="14"/>
          <w:color w:val="231F20"/>
        </w:rPr>
        <w:t></w:t>
      </w:r>
      <w:r>
        <w:rPr>
          <w:rFonts w:ascii="Arial" w:cs="Arial" w:eastAsia="Arial" w:hAnsi="Arial"/>
          <w:sz w:val="14"/>
          <w:szCs w:val="14"/>
          <w:color w:val="231F20"/>
        </w:rPr>
        <w:t xml:space="preserve">~ÒÖŁÜÄŁ </w:t>
      </w:r>
      <w:r>
        <w:rPr>
          <w:rFonts w:ascii="Arial" w:cs="Arial" w:eastAsia="Arial" w:hAnsi="Arial"/>
          <w:sz w:val="14"/>
          <w:szCs w:val="14"/>
          <w:color w:val="231F20"/>
        </w:rPr>
        <w:t>come. The result is a company that enters 2026 leaner, clearer, and more strategically focused than at any point in our recent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6"/>
          <w:szCs w:val="26"/>
          <w:b w:val="1"/>
          <w:bCs w:val="1"/>
          <w:color w:val="10568C"/>
        </w:rPr>
        <w:t>Navigating a Challenging Market with Discipline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The market backdrop in 2025 was marked by client caution, elongated decision-making cycles, and continued pressure on</w:t>
      </w:r>
    </w:p>
    <w:p>
      <w:pPr>
        <w:spacing w:after="0" w:line="33" w:lineRule="exact"/>
        <w:rPr>
          <w:sz w:val="20"/>
          <w:szCs w:val="20"/>
          <w:color w:val="auto"/>
        </w:rPr>
      </w:pPr>
    </w:p>
    <w:p>
      <w:pPr>
        <w:ind w:right="340"/>
        <w:spacing w:after="0" w:line="318" w:lineRule="exact"/>
        <w:rPr>
          <w:sz w:val="20"/>
          <w:szCs w:val="20"/>
          <w:color w:val="auto"/>
        </w:rPr>
      </w:pP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¥¾Ä·Ä¡òŁ</w:t>
      </w:r>
      <w:r>
        <w:rPr>
          <w:rFonts w:ascii="PMingLiU" w:cs="PMingLiU" w:eastAsia="PMingLiU" w:hAnsi="PMingLiU"/>
          <w:sz w:val="15"/>
          <w:szCs w:val="15"/>
          <w:color w:val="231F20"/>
        </w:rPr>
        <w:t></w:t>
      </w:r>
      <w:r>
        <w:rPr>
          <w:rFonts w:ascii="Arial" w:cs="Arial" w:eastAsia="Arial" w:hAnsi="Arial"/>
          <w:sz w:val="15"/>
          <w:szCs w:val="15"/>
          <w:color w:val="231F20"/>
        </w:rPr>
        <w:t>à</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ÜÖńŁm¥§·</w:t>
      </w:r>
      <w:r>
        <w:rPr>
          <w:rFonts w:ascii="PMingLiU" w:cs="PMingLiU" w:eastAsia="PMingLiU" w:hAnsi="PMingLiU"/>
          <w:sz w:val="15"/>
          <w:szCs w:val="15"/>
          <w:color w:val="231F20"/>
        </w:rPr>
        <w:t></w:t>
      </w:r>
      <w:r>
        <w:rPr>
          <w:rFonts w:ascii="Arial" w:cs="Arial" w:eastAsia="Arial" w:hAnsi="Arial"/>
          <w:sz w:val="15"/>
          <w:szCs w:val="15"/>
          <w:color w:val="231F20"/>
        </w:rPr>
        <w:t>ŁÜ¥</w:t>
      </w:r>
      <w:r>
        <w:rPr>
          <w:rFonts w:ascii="PMingLiU" w:cs="PMingLiU" w:eastAsia="PMingLiU" w:hAnsi="PMingLiU"/>
          <w:sz w:val="15"/>
          <w:szCs w:val="15"/>
          <w:color w:val="231F20"/>
        </w:rPr>
        <w:t></w:t>
      </w:r>
      <w:r>
        <w:rPr>
          <w:rFonts w:ascii="Arial" w:cs="Arial" w:eastAsia="Arial" w:hAnsi="Arial"/>
          <w:sz w:val="15"/>
          <w:szCs w:val="15"/>
          <w:color w:val="231F20"/>
        </w:rPr>
        <w:t>Ö</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ò¾~½§</w:t>
      </w:r>
      <w:r>
        <w:rPr>
          <w:rFonts w:ascii="PMingLiU" w:cs="PMingLiU" w:eastAsia="PMingLiU" w:hAnsi="PMingLiU"/>
          <w:sz w:val="15"/>
          <w:szCs w:val="15"/>
          <w:color w:val="231F20"/>
        </w:rPr>
        <w:t></w:t>
      </w:r>
      <w:r>
        <w:rPr>
          <w:rFonts w:ascii="Arial" w:cs="Arial" w:eastAsia="Arial" w:hAnsi="Arial"/>
          <w:sz w:val="15"/>
          <w:szCs w:val="15"/>
          <w:color w:val="231F20"/>
        </w:rPr>
        <w:t>ÖŁ</w:t>
      </w:r>
      <w:r>
        <w:rPr>
          <w:rFonts w:ascii="PMingLiU" w:cs="PMingLiU" w:eastAsia="PMingLiU" w:hAnsi="PMingLiU"/>
          <w:sz w:val="15"/>
          <w:szCs w:val="15"/>
          <w:color w:val="231F20"/>
        </w:rPr>
        <w:t></w:t>
      </w:r>
      <w:r>
        <w:rPr>
          <w:rFonts w:ascii="Arial" w:cs="Arial" w:eastAsia="Arial" w:hAnsi="Arial"/>
          <w:sz w:val="15"/>
          <w:szCs w:val="15"/>
          <w:color w:val="231F20"/>
        </w:rPr>
        <w:t>Ò</w:t>
      </w:r>
      <w:r>
        <w:rPr>
          <w:rFonts w:ascii="PMingLiU" w:cs="PMingLiU" w:eastAsia="PMingLiU" w:hAnsi="PMingLiU"/>
          <w:sz w:val="15"/>
          <w:szCs w:val="15"/>
          <w:color w:val="231F20"/>
        </w:rPr>
        <w:t></w:t>
      </w: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ì§¾</w:t>
      </w:r>
      <w:r>
        <w:rPr>
          <w:rFonts w:ascii="PMingLiU" w:cs="PMingLiU" w:eastAsia="PMingLiU" w:hAnsi="PMingLiU"/>
          <w:sz w:val="15"/>
          <w:szCs w:val="15"/>
          <w:color w:val="231F20"/>
        </w:rPr>
        <w:t></w:t>
      </w:r>
      <w:r>
        <w:rPr>
          <w:rFonts w:ascii="Arial" w:cs="Arial" w:eastAsia="Arial" w:hAnsi="Arial"/>
          <w:sz w:val="15"/>
          <w:szCs w:val="15"/>
          <w:color w:val="231F20"/>
        </w:rPr>
        <w:t>ÖŁ~</w:t>
      </w:r>
      <w:r>
        <w:rPr>
          <w:rFonts w:ascii="PMingLiU" w:cs="PMingLiU" w:eastAsia="PMingLiU" w:hAnsi="PMingLiU"/>
          <w:sz w:val="15"/>
          <w:szCs w:val="15"/>
          <w:color w:val="231F20"/>
        </w:rPr>
        <w:t></w:t>
      </w:r>
      <w:r>
        <w:rPr>
          <w:rFonts w:ascii="Arial" w:cs="Arial" w:eastAsia="Arial" w:hAnsi="Arial"/>
          <w:sz w:val="15"/>
          <w:szCs w:val="15"/>
          <w:color w:val="231F20"/>
        </w:rPr>
        <w:t>ÒÄÖÖŁÄàÒŁ</w:t>
      </w:r>
      <w:r>
        <w:rPr>
          <w:rFonts w:ascii="PMingLiU" w:cs="PMingLiU" w:eastAsia="PMingLiU" w:hAnsi="PMingLiU"/>
          <w:sz w:val="15"/>
          <w:szCs w:val="15"/>
          <w:color w:val="231F20"/>
        </w:rPr>
        <w:t></w:t>
      </w:r>
      <w:r>
        <w:rPr>
          <w:rFonts w:ascii="Arial" w:cs="Arial" w:eastAsia="Arial" w:hAnsi="Arial"/>
          <w:sz w:val="15"/>
          <w:szCs w:val="15"/>
          <w:color w:val="231F20"/>
        </w:rPr>
        <w:t>àÖ§¾</w:t>
      </w:r>
      <w:r>
        <w:rPr>
          <w:rFonts w:ascii="PMingLiU" w:cs="PMingLiU" w:eastAsia="PMingLiU" w:hAnsi="PMingLiU"/>
          <w:sz w:val="15"/>
          <w:szCs w:val="15"/>
          <w:color w:val="231F20"/>
        </w:rPr>
        <w:t></w:t>
      </w:r>
      <w:r>
        <w:rPr>
          <w:rFonts w:ascii="Arial" w:cs="Arial" w:eastAsia="Arial" w:hAnsi="Arial"/>
          <w:sz w:val="15"/>
          <w:szCs w:val="15"/>
          <w:color w:val="231F20"/>
        </w:rPr>
        <w:t>ÖÖŅŁÜ¥</w:t>
      </w:r>
      <w:r>
        <w:rPr>
          <w:rFonts w:ascii="PMingLiU" w:cs="PMingLiU" w:eastAsia="PMingLiU" w:hAnsi="PMingLiU"/>
          <w:sz w:val="15"/>
          <w:szCs w:val="15"/>
          <w:color w:val="231F20"/>
        </w:rPr>
        <w:t></w:t>
      </w:r>
      <w:r>
        <w:rPr>
          <w:rFonts w:ascii="Arial" w:cs="Arial" w:eastAsia="Arial" w:hAnsi="Arial"/>
          <w:sz w:val="15"/>
          <w:szCs w:val="15"/>
          <w:color w:val="231F20"/>
        </w:rPr>
        <w:t>òŁ~·ÖÄŁë~·§</w:t>
      </w:r>
      <w:r>
        <w:rPr>
          <w:rFonts w:ascii="PMingLiU" w:cs="PMingLiU" w:eastAsia="PMingLiU" w:hAnsi="PMingLiU"/>
          <w:sz w:val="15"/>
          <w:szCs w:val="15"/>
          <w:color w:val="231F20"/>
        </w:rPr>
        <w:t></w:t>
      </w: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ŁÜ¥</w:t>
      </w:r>
      <w:r>
        <w:rPr>
          <w:rFonts w:ascii="PMingLiU" w:cs="PMingLiU" w:eastAsia="PMingLiU" w:hAnsi="PMingLiU"/>
          <w:sz w:val="15"/>
          <w:szCs w:val="15"/>
          <w:color w:val="231F20"/>
        </w:rPr>
        <w:t></w:t>
      </w:r>
      <w:r>
        <w:rPr>
          <w:rFonts w:ascii="Arial" w:cs="Arial" w:eastAsia="Arial" w:hAnsi="Arial"/>
          <w:sz w:val="15"/>
          <w:szCs w:val="15"/>
          <w:color w:val="231F20"/>
        </w:rPr>
        <w:t>ŁÖÜÒ~Ü</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¥Ä§</w:t>
      </w:r>
      <w:r>
        <w:rPr>
          <w:rFonts w:ascii="PMingLiU" w:cs="PMingLiU" w:eastAsia="PMingLiU" w:hAnsi="PMingLiU"/>
          <w:sz w:val="15"/>
          <w:szCs w:val="15"/>
          <w:color w:val="231F20"/>
        </w:rPr>
        <w:t></w:t>
      </w:r>
      <w:r>
        <w:rPr>
          <w:rFonts w:ascii="Arial" w:cs="Arial" w:eastAsia="Arial" w:hAnsi="Arial"/>
          <w:sz w:val="15"/>
          <w:szCs w:val="15"/>
          <w:color w:val="231F20"/>
        </w:rPr>
        <w:t>ÖŁ ì</w:t>
      </w:r>
      <w:r>
        <w:rPr>
          <w:rFonts w:ascii="PMingLiU" w:cs="PMingLiU" w:eastAsia="PMingLiU" w:hAnsi="PMingLiU"/>
          <w:sz w:val="15"/>
          <w:szCs w:val="15"/>
          <w:color w:val="231F20"/>
        </w:rPr>
        <w:t></w:t>
      </w:r>
      <w:r>
        <w:rPr>
          <w:rFonts w:ascii="Arial" w:cs="Arial" w:eastAsia="Arial" w:hAnsi="Arial"/>
          <w:sz w:val="15"/>
          <w:szCs w:val="15"/>
          <w:color w:val="231F20"/>
        </w:rPr>
        <w:t>Ł½~</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~Ò·òŁ§¾ŁÜ¥</w:t>
      </w:r>
      <w:r>
        <w:rPr>
          <w:rFonts w:ascii="PMingLiU" w:cs="PMingLiU" w:eastAsia="PMingLiU" w:hAnsi="PMingLiU"/>
          <w:sz w:val="15"/>
          <w:szCs w:val="15"/>
          <w:color w:val="231F20"/>
        </w:rPr>
        <w:t></w:t>
      </w:r>
      <w:r>
        <w:rPr>
          <w:rFonts w:ascii="Arial" w:cs="Arial" w:eastAsia="Arial" w:hAnsi="Arial"/>
          <w:sz w:val="15"/>
          <w:szCs w:val="15"/>
          <w:color w:val="231F20"/>
        </w:rPr>
        <w:t>Łò</w:t>
      </w:r>
      <w:r>
        <w:rPr>
          <w:rFonts w:ascii="PMingLiU" w:cs="PMingLiU" w:eastAsia="PMingLiU" w:hAnsi="PMingLiU"/>
          <w:sz w:val="15"/>
          <w:szCs w:val="15"/>
          <w:color w:val="231F20"/>
        </w:rPr>
        <w:t></w:t>
      </w:r>
      <w:r>
        <w:rPr>
          <w:rFonts w:ascii="Arial" w:cs="Arial" w:eastAsia="Arial" w:hAnsi="Arial"/>
          <w:sz w:val="15"/>
          <w:szCs w:val="15"/>
          <w:color w:val="231F20"/>
        </w:rPr>
        <w:t>~ÒńŁm</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¥ÄÖ</w:t>
      </w:r>
      <w:r>
        <w:rPr>
          <w:rFonts w:ascii="PMingLiU" w:cs="PMingLiU" w:eastAsia="PMingLiU" w:hAnsi="PMingLiU"/>
          <w:sz w:val="15"/>
          <w:szCs w:val="15"/>
          <w:color w:val="231F20"/>
        </w:rPr>
        <w:t></w:t>
      </w:r>
      <w:r>
        <w:rPr>
          <w:rFonts w:ascii="Arial" w:cs="Arial" w:eastAsia="Arial" w:hAnsi="Arial"/>
          <w:sz w:val="15"/>
          <w:szCs w:val="15"/>
          <w:color w:val="231F20"/>
        </w:rPr>
        <w:t>ŁÒ</w:t>
      </w:r>
      <w:r>
        <w:rPr>
          <w:rFonts w:ascii="PMingLiU" w:cs="PMingLiU" w:eastAsia="PMingLiU" w:hAnsi="PMingLiU"/>
          <w:sz w:val="15"/>
          <w:szCs w:val="15"/>
          <w:color w:val="231F20"/>
        </w:rPr>
        <w:t></w:t>
      </w:r>
      <w:r>
        <w:rPr>
          <w:rFonts w:ascii="Arial" w:cs="Arial" w:eastAsia="Arial" w:hAnsi="Arial"/>
          <w:sz w:val="15"/>
          <w:szCs w:val="15"/>
          <w:color w:val="231F20"/>
        </w:rPr>
        <w:t>ë</w:t>
      </w:r>
      <w:r>
        <w:rPr>
          <w:rFonts w:ascii="PMingLiU" w:cs="PMingLiU" w:eastAsia="PMingLiU" w:hAnsi="PMingLiU"/>
          <w:sz w:val="15"/>
          <w:szCs w:val="15"/>
          <w:color w:val="231F20"/>
        </w:rPr>
        <w:t></w:t>
      </w:r>
      <w:r>
        <w:rPr>
          <w:rFonts w:ascii="Arial" w:cs="Arial" w:eastAsia="Arial" w:hAnsi="Arial"/>
          <w:sz w:val="15"/>
          <w:szCs w:val="15"/>
          <w:color w:val="231F20"/>
        </w:rPr>
        <w:t>¾à</w:t>
      </w:r>
      <w:r>
        <w:rPr>
          <w:rFonts w:ascii="PMingLiU" w:cs="PMingLiU" w:eastAsia="PMingLiU" w:hAnsi="PMingLiU"/>
          <w:sz w:val="15"/>
          <w:szCs w:val="15"/>
          <w:color w:val="231F20"/>
        </w:rPr>
        <w:t></w:t>
      </w:r>
      <w:r>
        <w:rPr>
          <w:rFonts w:ascii="Arial" w:cs="Arial" w:eastAsia="Arial" w:hAnsi="Arial"/>
          <w:sz w:val="15"/>
          <w:szCs w:val="15"/>
          <w:color w:val="231F20"/>
        </w:rPr>
        <w:t>ŁÑà~·§ÜòŁÄë</w:t>
      </w:r>
      <w:r>
        <w:rPr>
          <w:rFonts w:ascii="PMingLiU" w:cs="PMingLiU" w:eastAsia="PMingLiU" w:hAnsi="PMingLiU"/>
          <w:sz w:val="15"/>
          <w:szCs w:val="15"/>
          <w:color w:val="231F20"/>
        </w:rPr>
        <w:t></w:t>
      </w:r>
      <w:r>
        <w:rPr>
          <w:rFonts w:ascii="Arial" w:cs="Arial" w:eastAsia="Arial" w:hAnsi="Arial"/>
          <w:sz w:val="15"/>
          <w:szCs w:val="15"/>
          <w:color w:val="231F20"/>
        </w:rPr>
        <w:t>ÒŁÒ</w:t>
      </w:r>
      <w:r>
        <w:rPr>
          <w:rFonts w:ascii="PMingLiU" w:cs="PMingLiU" w:eastAsia="PMingLiU" w:hAnsi="PMingLiU"/>
          <w:sz w:val="15"/>
          <w:szCs w:val="15"/>
          <w:color w:val="231F20"/>
        </w:rPr>
        <w:t></w:t>
      </w:r>
      <w:r>
        <w:rPr>
          <w:rFonts w:ascii="Arial" w:cs="Arial" w:eastAsia="Arial" w:hAnsi="Arial"/>
          <w:sz w:val="15"/>
          <w:szCs w:val="15"/>
          <w:color w:val="231F20"/>
        </w:rPr>
        <w:t>ë</w:t>
      </w:r>
      <w:r>
        <w:rPr>
          <w:rFonts w:ascii="PMingLiU" w:cs="PMingLiU" w:eastAsia="PMingLiU" w:hAnsi="PMingLiU"/>
          <w:sz w:val="15"/>
          <w:szCs w:val="15"/>
          <w:color w:val="231F20"/>
        </w:rPr>
        <w:t></w:t>
      </w:r>
      <w:r>
        <w:rPr>
          <w:rFonts w:ascii="Arial" w:cs="Arial" w:eastAsia="Arial" w:hAnsi="Arial"/>
          <w:sz w:val="15"/>
          <w:szCs w:val="15"/>
          <w:color w:val="231F20"/>
        </w:rPr>
        <w:t>¾à</w:t>
      </w:r>
      <w:r>
        <w:rPr>
          <w:rFonts w:ascii="PMingLiU" w:cs="PMingLiU" w:eastAsia="PMingLiU" w:hAnsi="PMingLiU"/>
          <w:sz w:val="15"/>
          <w:szCs w:val="15"/>
          <w:color w:val="231F20"/>
        </w:rPr>
        <w:t></w:t>
      </w:r>
      <w:r>
        <w:rPr>
          <w:rFonts w:ascii="Arial" w:cs="Arial" w:eastAsia="Arial" w:hAnsi="Arial"/>
          <w:sz w:val="15"/>
          <w:szCs w:val="15"/>
          <w:color w:val="231F20"/>
        </w:rPr>
        <w:t>ŁëÄ·à½</w:t>
      </w:r>
      <w:r>
        <w:rPr>
          <w:rFonts w:ascii="PMingLiU" w:cs="PMingLiU" w:eastAsia="PMingLiU" w:hAnsi="PMingLiU"/>
          <w:sz w:val="15"/>
          <w:szCs w:val="15"/>
          <w:color w:val="231F20"/>
        </w:rPr>
        <w:t></w:t>
      </w:r>
      <w:r>
        <w:rPr>
          <w:rFonts w:ascii="Arial" w:cs="Arial" w:eastAsia="Arial" w:hAnsi="Arial"/>
          <w:sz w:val="15"/>
          <w:szCs w:val="15"/>
          <w:color w:val="231F20"/>
        </w:rPr>
        <w:t>ńŁm</w:t>
      </w:r>
      <w:r>
        <w:rPr>
          <w:rFonts w:ascii="PMingLiU" w:cs="PMingLiU" w:eastAsia="PMingLiU" w:hAnsi="PMingLiU"/>
          <w:sz w:val="15"/>
          <w:szCs w:val="15"/>
          <w:color w:val="231F20"/>
        </w:rPr>
        <w:t></w:t>
      </w:r>
      <w:r>
        <w:rPr>
          <w:rFonts w:ascii="Arial" w:cs="Arial" w:eastAsia="Arial" w:hAnsi="Arial"/>
          <w:sz w:val="15"/>
          <w:szCs w:val="15"/>
          <w:color w:val="231F20"/>
        </w:rPr>
        <w:t>ŁÏÒ§ÄÒ§Ü§ø</w:t>
      </w:r>
      <w:r>
        <w:rPr>
          <w:rFonts w:ascii="PMingLiU" w:cs="PMingLiU" w:eastAsia="PMingLiU" w:hAnsi="PMingLiU"/>
          <w:sz w:val="15"/>
          <w:szCs w:val="15"/>
          <w:color w:val="231F20"/>
        </w:rPr>
        <w:t></w:t>
      </w:r>
      <w:r>
        <w:rPr>
          <w:rFonts w:ascii="Arial" w:cs="Arial" w:eastAsia="Arial" w:hAnsi="Arial"/>
          <w:sz w:val="15"/>
          <w:szCs w:val="15"/>
          <w:color w:val="231F20"/>
        </w:rPr>
        <w:t>ŁÖàÖÜ~§¾~</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Ł½~Ò¡§¾ÖŁÄë</w:t>
      </w:r>
      <w:r>
        <w:rPr>
          <w:rFonts w:ascii="PMingLiU" w:cs="PMingLiU" w:eastAsia="PMingLiU" w:hAnsi="PMingLiU"/>
          <w:sz w:val="15"/>
          <w:szCs w:val="15"/>
          <w:color w:val="231F20"/>
        </w:rPr>
        <w:t></w:t>
      </w:r>
      <w:r>
        <w:rPr>
          <w:rFonts w:ascii="Arial" w:cs="Arial" w:eastAsia="Arial" w:hAnsi="Arial"/>
          <w:sz w:val="15"/>
          <w:szCs w:val="15"/>
          <w:color w:val="231F20"/>
        </w:rPr>
        <w:t xml:space="preserve">ÒŁ </w:t>
      </w:r>
      <w:r>
        <w:rPr>
          <w:rFonts w:ascii="Arial" w:cs="Arial" w:eastAsia="Arial" w:hAnsi="Arial"/>
          <w:sz w:val="15"/>
          <w:szCs w:val="15"/>
          <w:color w:val="231F20"/>
        </w:rPr>
        <w:t>short-term growth. And we invested in building the right foundation rather than chasing near-term wins at the expense of our longer-term trajectory.</w:t>
      </w:r>
    </w:p>
    <w:p>
      <w:pPr>
        <w:spacing w:after="0" w:line="24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EàÒŁ*]ŁWÜ~ ĝ¾¡ŁW</w:t>
      </w:r>
      <w:r>
        <w:rPr>
          <w:rFonts w:ascii="PMingLiU" w:cs="PMingLiU" w:eastAsia="PMingLiU" w:hAnsi="PMingLiU"/>
          <w:sz w:val="15"/>
          <w:szCs w:val="15"/>
          <w:color w:val="231F20"/>
        </w:rPr>
        <w:t></w:t>
      </w:r>
      <w:r>
        <w:rPr>
          <w:rFonts w:ascii="Arial" w:cs="Arial" w:eastAsia="Arial" w:hAnsi="Arial"/>
          <w:sz w:val="15"/>
          <w:szCs w:val="15"/>
          <w:color w:val="231F20"/>
        </w:rPr>
        <w:t>Òë§</w:t>
      </w:r>
      <w:r>
        <w:rPr>
          <w:rFonts w:ascii="PMingLiU" w:cs="PMingLiU" w:eastAsia="PMingLiU" w:hAnsi="PMingLiU"/>
          <w:sz w:val="15"/>
          <w:szCs w:val="15"/>
          <w:color w:val="231F20"/>
        </w:rPr>
        <w:t></w:t>
      </w:r>
      <w:r>
        <w:rPr>
          <w:rFonts w:ascii="Arial" w:cs="Arial" w:eastAsia="Arial" w:hAnsi="Arial"/>
          <w:sz w:val="15"/>
          <w:szCs w:val="15"/>
          <w:color w:val="231F20"/>
        </w:rPr>
        <w:t>ÖŁÖ</w:t>
      </w:r>
      <w:r>
        <w:rPr>
          <w:rFonts w:ascii="PMingLiU" w:cs="PMingLiU" w:eastAsia="PMingLiU" w:hAnsi="PMingLiU"/>
          <w:sz w:val="15"/>
          <w:szCs w:val="15"/>
          <w:color w:val="231F20"/>
        </w:rPr>
        <w:t></w:t>
      </w:r>
      <w:r>
        <w:rPr>
          <w:rFonts w:ascii="Arial" w:cs="Arial" w:eastAsia="Arial" w:hAnsi="Arial"/>
          <w:sz w:val="15"/>
          <w:szCs w:val="15"/>
          <w:color w:val="231F20"/>
        </w:rPr>
        <w:t>¡½</w:t>
      </w:r>
      <w:r>
        <w:rPr>
          <w:rFonts w:ascii="PMingLiU" w:cs="PMingLiU" w:eastAsia="PMingLiU" w:hAnsi="PMingLiU"/>
          <w:sz w:val="15"/>
          <w:szCs w:val="15"/>
          <w:color w:val="231F20"/>
        </w:rPr>
        <w:t></w:t>
      </w:r>
      <w:r>
        <w:rPr>
          <w:rFonts w:ascii="Arial" w:cs="Arial" w:eastAsia="Arial" w:hAnsi="Arial"/>
          <w:sz w:val="15"/>
          <w:szCs w:val="15"/>
          <w:color w:val="231F20"/>
        </w:rPr>
        <w:t>¾ÜŁ</w:t>
      </w:r>
      <w:r>
        <w:rPr>
          <w:rFonts w:ascii="PMingLiU" w:cs="PMingLiU" w:eastAsia="PMingLiU" w:hAnsi="PMingLiU"/>
          <w:sz w:val="15"/>
          <w:szCs w:val="15"/>
          <w:color w:val="231F20"/>
        </w:rPr>
        <w:t></w:t>
      </w:r>
      <w:r>
        <w:rPr>
          <w:rFonts w:ascii="Arial" w:cs="Arial" w:eastAsia="Arial" w:hAnsi="Arial"/>
          <w:sz w:val="15"/>
          <w:szCs w:val="15"/>
          <w:color w:val="231F20"/>
        </w:rPr>
        <w:t>·§ë</w:t>
      </w:r>
      <w:r>
        <w:rPr>
          <w:rFonts w:ascii="PMingLiU" w:cs="PMingLiU" w:eastAsia="PMingLiU" w:hAnsi="PMingLiU"/>
          <w:sz w:val="15"/>
          <w:szCs w:val="15"/>
          <w:color w:val="231F20"/>
        </w:rPr>
        <w:t></w:t>
      </w:r>
      <w:r>
        <w:rPr>
          <w:rFonts w:ascii="Arial" w:cs="Arial" w:eastAsia="Arial" w:hAnsi="Arial"/>
          <w:sz w:val="15"/>
          <w:szCs w:val="15"/>
          <w:color w:val="231F20"/>
        </w:rPr>
        <w:t>Ò</w:t>
      </w:r>
      <w:r>
        <w:rPr>
          <w:rFonts w:ascii="PMingLiU" w:cs="PMingLiU" w:eastAsia="PMingLiU" w:hAnsi="PMingLiU"/>
          <w:sz w:val="15"/>
          <w:szCs w:val="15"/>
          <w:color w:val="231F20"/>
        </w:rPr>
        <w:t></w:t>
      </w:r>
      <w:r>
        <w:rPr>
          <w:rFonts w:ascii="Arial" w:cs="Arial" w:eastAsia="Arial" w:hAnsi="Arial"/>
          <w:sz w:val="15"/>
          <w:szCs w:val="15"/>
          <w:color w:val="231F20"/>
        </w:rPr>
        <w:t>Ł à··ŕò</w:t>
      </w:r>
      <w:r>
        <w:rPr>
          <w:rFonts w:ascii="PMingLiU" w:cs="PMingLiU" w:eastAsia="PMingLiU" w:hAnsi="PMingLiU"/>
          <w:sz w:val="15"/>
          <w:szCs w:val="15"/>
          <w:color w:val="231F20"/>
        </w:rPr>
        <w:t></w:t>
      </w:r>
      <w:r>
        <w:rPr>
          <w:rFonts w:ascii="Arial" w:cs="Arial" w:eastAsia="Arial" w:hAnsi="Arial"/>
          <w:sz w:val="15"/>
          <w:szCs w:val="15"/>
          <w:color w:val="231F20"/>
        </w:rPr>
        <w:t>~ÒŁÒ</w:t>
      </w:r>
      <w:r>
        <w:rPr>
          <w:rFonts w:ascii="PMingLiU" w:cs="PMingLiU" w:eastAsia="PMingLiU" w:hAnsi="PMingLiU"/>
          <w:sz w:val="15"/>
          <w:szCs w:val="15"/>
          <w:color w:val="231F20"/>
        </w:rPr>
        <w:t></w:t>
      </w:r>
      <w:r>
        <w:rPr>
          <w:rFonts w:ascii="Arial" w:cs="Arial" w:eastAsia="Arial" w:hAnsi="Arial"/>
          <w:sz w:val="15"/>
          <w:szCs w:val="15"/>
          <w:color w:val="231F20"/>
        </w:rPr>
        <w:t>ë</w:t>
      </w:r>
      <w:r>
        <w:rPr>
          <w:rFonts w:ascii="PMingLiU" w:cs="PMingLiU" w:eastAsia="PMingLiU" w:hAnsi="PMingLiU"/>
          <w:sz w:val="15"/>
          <w:szCs w:val="15"/>
          <w:color w:val="231F20"/>
        </w:rPr>
        <w:t></w:t>
      </w:r>
      <w:r>
        <w:rPr>
          <w:rFonts w:ascii="Arial" w:cs="Arial" w:eastAsia="Arial" w:hAnsi="Arial"/>
          <w:sz w:val="15"/>
          <w:szCs w:val="15"/>
          <w:color w:val="231F20"/>
        </w:rPr>
        <w:t>¾à</w:t>
      </w:r>
      <w:r>
        <w:rPr>
          <w:rFonts w:ascii="PMingLiU" w:cs="PMingLiU" w:eastAsia="PMingLiU" w:hAnsi="PMingLiU"/>
          <w:sz w:val="15"/>
          <w:szCs w:val="15"/>
          <w:color w:val="231F20"/>
        </w:rPr>
        <w:t></w:t>
      </w:r>
      <w:r>
        <w:rPr>
          <w:rFonts w:ascii="Arial" w:cs="Arial" w:eastAsia="Arial" w:hAnsi="Arial"/>
          <w:sz w:val="15"/>
          <w:szCs w:val="15"/>
          <w:color w:val="231F20"/>
        </w:rPr>
        <w:t>ÖŁÄ ŁƄģħĪńģŁ½§··§Ä¾ŅŁ~Ł½Ä</w:t>
      </w:r>
      <w:r>
        <w:rPr>
          <w:rFonts w:ascii="PMingLiU" w:cs="PMingLiU" w:eastAsia="PMingLiU" w:hAnsi="PMingLiU"/>
          <w:sz w:val="15"/>
          <w:szCs w:val="15"/>
          <w:color w:val="231F20"/>
        </w:rPr>
        <w:t></w:t>
      </w:r>
      <w:r>
        <w:rPr>
          <w:rFonts w:ascii="Arial" w:cs="Arial" w:eastAsia="Arial" w:hAnsi="Arial"/>
          <w:sz w:val="15"/>
          <w:szCs w:val="15"/>
          <w:color w:val="231F20"/>
        </w:rPr>
        <w:t>ÖÜŁ</w:t>
      </w:r>
      <w:r>
        <w:rPr>
          <w:rFonts w:ascii="PMingLiU" w:cs="PMingLiU" w:eastAsia="PMingLiU" w:hAnsi="PMingLiU"/>
          <w:sz w:val="15"/>
          <w:szCs w:val="15"/>
          <w:color w:val="231F20"/>
        </w:rPr>
        <w:t></w:t>
      </w:r>
      <w:r>
        <w:rPr>
          <w:rFonts w:ascii="Arial" w:cs="Arial" w:eastAsia="Arial" w:hAnsi="Arial"/>
          <w:sz w:val="15"/>
          <w:szCs w:val="15"/>
          <w:color w:val="231F20"/>
        </w:rPr>
        <w:t>·§¾</w:t>
      </w:r>
      <w:r>
        <w:rPr>
          <w:rFonts w:ascii="PMingLiU" w:cs="PMingLiU" w:eastAsia="PMingLiU" w:hAnsi="PMingLiU"/>
          <w:sz w:val="15"/>
          <w:szCs w:val="15"/>
          <w:color w:val="231F20"/>
        </w:rPr>
        <w:t></w:t>
      </w:r>
      <w:r>
        <w:rPr>
          <w:rFonts w:ascii="Arial" w:cs="Arial" w:eastAsia="Arial" w:hAnsi="Arial"/>
          <w:sz w:val="15"/>
          <w:szCs w:val="15"/>
          <w:color w:val="231F20"/>
        </w:rPr>
        <w:t>ŁÄ ŁĤńĨƥŁò</w:t>
      </w:r>
      <w:r>
        <w:rPr>
          <w:rFonts w:ascii="PMingLiU" w:cs="PMingLiU" w:eastAsia="PMingLiU" w:hAnsi="PMingLiU"/>
          <w:sz w:val="15"/>
          <w:szCs w:val="15"/>
          <w:color w:val="231F20"/>
        </w:rPr>
        <w:t></w:t>
      </w:r>
      <w:r>
        <w:rPr>
          <w:rFonts w:ascii="Arial" w:cs="Arial" w:eastAsia="Arial" w:hAnsi="Arial"/>
          <w:sz w:val="15"/>
          <w:szCs w:val="15"/>
          <w:color w:val="231F20"/>
        </w:rPr>
        <w:t>~ÒŕÄë</w:t>
      </w:r>
      <w:r>
        <w:rPr>
          <w:rFonts w:ascii="PMingLiU" w:cs="PMingLiU" w:eastAsia="PMingLiU" w:hAnsi="PMingLiU"/>
          <w:sz w:val="15"/>
          <w:szCs w:val="15"/>
          <w:color w:val="231F20"/>
        </w:rPr>
        <w:t></w:t>
      </w:r>
      <w:r>
        <w:rPr>
          <w:rFonts w:ascii="Arial" w:cs="Arial" w:eastAsia="Arial" w:hAnsi="Arial"/>
          <w:sz w:val="15"/>
          <w:szCs w:val="15"/>
          <w:color w:val="231F20"/>
        </w:rPr>
        <w:t>Òŕò</w:t>
      </w:r>
      <w:r>
        <w:rPr>
          <w:rFonts w:ascii="PMingLiU" w:cs="PMingLiU" w:eastAsia="PMingLiU" w:hAnsi="PMingLiU"/>
          <w:sz w:val="15"/>
          <w:szCs w:val="15"/>
          <w:color w:val="231F20"/>
        </w:rPr>
        <w:t></w:t>
      </w:r>
      <w:r>
        <w:rPr>
          <w:rFonts w:ascii="Arial" w:cs="Arial" w:eastAsia="Arial" w:hAnsi="Arial"/>
          <w:sz w:val="15"/>
          <w:szCs w:val="15"/>
          <w:color w:val="231F20"/>
        </w:rPr>
        <w:t>~ÒŅŁ</w:t>
      </w:r>
    </w:p>
    <w:p>
      <w:pPr>
        <w:spacing w:after="0" w:line="58" w:lineRule="exact"/>
        <w:rPr>
          <w:sz w:val="20"/>
          <w:szCs w:val="20"/>
          <w:color w:val="auto"/>
        </w:rPr>
      </w:pPr>
    </w:p>
    <w:p>
      <w:pPr>
        <w:spacing w:after="0" w:line="194" w:lineRule="exact"/>
        <w:rPr>
          <w:sz w:val="20"/>
          <w:szCs w:val="20"/>
          <w:color w:val="auto"/>
        </w:rPr>
      </w:pPr>
      <w:r>
        <w:rPr>
          <w:rFonts w:ascii="Arial" w:cs="Arial" w:eastAsia="Arial" w:hAnsi="Arial"/>
          <w:sz w:val="16"/>
          <w:szCs w:val="16"/>
          <w:color w:val="231F20"/>
        </w:rPr>
        <w:t>~¡~§¾ÖÜŁ~Ł</w:t>
      </w:r>
      <w:r>
        <w:rPr>
          <w:rFonts w:ascii="PMingLiU" w:cs="PMingLiU" w:eastAsia="PMingLiU" w:hAnsi="PMingLiU"/>
          <w:sz w:val="16"/>
          <w:szCs w:val="16"/>
          <w:color w:val="231F20"/>
        </w:rPr>
        <w:t></w:t>
      </w:r>
      <w:r>
        <w:rPr>
          <w:rFonts w:ascii="Arial" w:cs="Arial" w:eastAsia="Arial" w:hAnsi="Arial"/>
          <w:sz w:val="16"/>
          <w:szCs w:val="16"/>
          <w:color w:val="231F20"/>
        </w:rPr>
        <w:t>~</w:t>
      </w:r>
      <w:r>
        <w:rPr>
          <w:rFonts w:ascii="PMingLiU" w:cs="PMingLiU" w:eastAsia="PMingLiU" w:hAnsi="PMingLiU"/>
          <w:sz w:val="16"/>
          <w:szCs w:val="16"/>
          <w:color w:val="231F20"/>
        </w:rPr>
        <w:t></w:t>
      </w:r>
      <w:r>
        <w:rPr>
          <w:rFonts w:ascii="Arial" w:cs="Arial" w:eastAsia="Arial" w:hAnsi="Arial"/>
          <w:sz w:val="16"/>
          <w:szCs w:val="16"/>
          <w:color w:val="231F20"/>
        </w:rPr>
        <w:t>µ</w:t>
      </w:r>
      <w:r>
        <w:rPr>
          <w:rFonts w:ascii="PMingLiU" w:cs="PMingLiU" w:eastAsia="PMingLiU" w:hAnsi="PMingLiU"/>
          <w:sz w:val="16"/>
          <w:szCs w:val="16"/>
          <w:color w:val="231F20"/>
        </w:rPr>
        <w:t></w:t>
      </w:r>
      <w:r>
        <w:rPr>
          <w:rFonts w:ascii="Arial" w:cs="Arial" w:eastAsia="Arial" w:hAnsi="Arial"/>
          <w:sz w:val="16"/>
          <w:szCs w:val="16"/>
          <w:color w:val="231F20"/>
        </w:rPr>
        <w:t>ÒÄÏŁÄ Ł§¾</w:t>
      </w:r>
      <w:r>
        <w:rPr>
          <w:rFonts w:ascii="PMingLiU" w:cs="PMingLiU" w:eastAsia="PMingLiU" w:hAnsi="PMingLiU"/>
          <w:sz w:val="16"/>
          <w:szCs w:val="16"/>
          <w:color w:val="231F20"/>
        </w:rPr>
        <w:t></w:t>
      </w:r>
      <w:r>
        <w:rPr>
          <w:rFonts w:ascii="Arial" w:cs="Arial" w:eastAsia="Arial" w:hAnsi="Arial"/>
          <w:sz w:val="16"/>
          <w:szCs w:val="16"/>
          <w:color w:val="231F20"/>
        </w:rPr>
        <w:t>àÖÜÒòŕì§</w:t>
      </w:r>
      <w:r>
        <w:rPr>
          <w:rFonts w:ascii="PMingLiU" w:cs="PMingLiU" w:eastAsia="PMingLiU" w:hAnsi="PMingLiU"/>
          <w:sz w:val="16"/>
          <w:szCs w:val="16"/>
          <w:color w:val="231F20"/>
        </w:rPr>
        <w:t></w:t>
      </w:r>
      <w:r>
        <w:rPr>
          <w:rFonts w:ascii="Arial" w:cs="Arial" w:eastAsia="Arial" w:hAnsi="Arial"/>
          <w:sz w:val="16"/>
          <w:szCs w:val="16"/>
          <w:color w:val="231F20"/>
        </w:rPr>
        <w:t>ŁÖÄ Ü¾</w:t>
      </w:r>
      <w:r>
        <w:rPr>
          <w:rFonts w:ascii="PMingLiU" w:cs="PMingLiU" w:eastAsia="PMingLiU" w:hAnsi="PMingLiU"/>
          <w:sz w:val="16"/>
          <w:szCs w:val="16"/>
          <w:color w:val="231F20"/>
        </w:rPr>
        <w:t></w:t>
      </w:r>
      <w:r>
        <w:rPr>
          <w:rFonts w:ascii="Arial" w:cs="Arial" w:eastAsia="Arial" w:hAnsi="Arial"/>
          <w:sz w:val="16"/>
          <w:szCs w:val="16"/>
          <w:color w:val="231F20"/>
        </w:rPr>
        <w:t>ÖÖńŁm</w:t>
      </w:r>
      <w:r>
        <w:rPr>
          <w:rFonts w:ascii="PMingLiU" w:cs="PMingLiU" w:eastAsia="PMingLiU" w:hAnsi="PMingLiU"/>
          <w:sz w:val="16"/>
          <w:szCs w:val="16"/>
          <w:color w:val="231F20"/>
        </w:rPr>
        <w:t></w:t>
      </w:r>
      <w:r>
        <w:rPr>
          <w:rFonts w:ascii="Arial" w:cs="Arial" w:eastAsia="Arial" w:hAnsi="Arial"/>
          <w:sz w:val="16"/>
          <w:szCs w:val="16"/>
          <w:color w:val="231F20"/>
        </w:rPr>
        <w:t>ŁÖòÖÜ</w:t>
      </w:r>
      <w:r>
        <w:rPr>
          <w:rFonts w:ascii="PMingLiU" w:cs="PMingLiU" w:eastAsia="PMingLiU" w:hAnsi="PMingLiU"/>
          <w:sz w:val="16"/>
          <w:szCs w:val="16"/>
          <w:color w:val="231F20"/>
        </w:rPr>
        <w:t></w:t>
      </w:r>
      <w:r>
        <w:rPr>
          <w:rFonts w:ascii="Arial" w:cs="Arial" w:eastAsia="Arial" w:hAnsi="Arial"/>
          <w:sz w:val="16"/>
          <w:szCs w:val="16"/>
          <w:color w:val="231F20"/>
        </w:rPr>
        <w:t>½~Ü§</w:t>
      </w:r>
      <w:r>
        <w:rPr>
          <w:rFonts w:ascii="PMingLiU" w:cs="PMingLiU" w:eastAsia="PMingLiU" w:hAnsi="PMingLiU"/>
          <w:sz w:val="16"/>
          <w:szCs w:val="16"/>
          <w:color w:val="231F20"/>
        </w:rPr>
        <w:t></w:t>
      </w:r>
      <w:r>
        <w:rPr>
          <w:rFonts w:ascii="Arial" w:cs="Arial" w:eastAsia="Arial" w:hAnsi="Arial"/>
          <w:sz w:val="16"/>
          <w:szCs w:val="16"/>
          <w:color w:val="231F20"/>
        </w:rPr>
        <w:t>~··òŁ Ä</w:t>
      </w:r>
      <w:r>
        <w:rPr>
          <w:rFonts w:ascii="PMingLiU" w:cs="PMingLiU" w:eastAsia="PMingLiU" w:hAnsi="PMingLiU"/>
          <w:sz w:val="16"/>
          <w:szCs w:val="16"/>
          <w:color w:val="231F20"/>
        </w:rPr>
        <w:t></w:t>
      </w:r>
      <w:r>
        <w:rPr>
          <w:rFonts w:ascii="Arial" w:cs="Arial" w:eastAsia="Arial" w:hAnsi="Arial"/>
          <w:sz w:val="16"/>
          <w:szCs w:val="16"/>
          <w:color w:val="231F20"/>
        </w:rPr>
        <w:t>àÖ</w:t>
      </w:r>
      <w:r>
        <w:rPr>
          <w:rFonts w:ascii="PMingLiU" w:cs="PMingLiU" w:eastAsia="PMingLiU" w:hAnsi="PMingLiU"/>
          <w:sz w:val="16"/>
          <w:szCs w:val="16"/>
          <w:color w:val="231F20"/>
        </w:rPr>
        <w:t></w:t>
      </w:r>
      <w:r>
        <w:rPr>
          <w:rFonts w:ascii="Arial" w:cs="Arial" w:eastAsia="Arial" w:hAnsi="Arial"/>
          <w:sz w:val="16"/>
          <w:szCs w:val="16"/>
          <w:color w:val="231F20"/>
        </w:rPr>
        <w:t>ŁÄ¾Ł§½ÏÒÄë§¾¡ŁÜ¥</w:t>
      </w:r>
      <w:r>
        <w:rPr>
          <w:rFonts w:ascii="PMingLiU" w:cs="PMingLiU" w:eastAsia="PMingLiU" w:hAnsi="PMingLiU"/>
          <w:sz w:val="16"/>
          <w:szCs w:val="16"/>
          <w:color w:val="231F20"/>
        </w:rPr>
        <w:t></w:t>
      </w:r>
      <w:r>
        <w:rPr>
          <w:rFonts w:ascii="Arial" w:cs="Arial" w:eastAsia="Arial" w:hAnsi="Arial"/>
          <w:sz w:val="16"/>
          <w:szCs w:val="16"/>
          <w:color w:val="231F20"/>
        </w:rPr>
        <w:t>ŁÑà~·§ÜòŁÄ ŁÄàÒŁÒ</w:t>
      </w:r>
      <w:r>
        <w:rPr>
          <w:rFonts w:ascii="PMingLiU" w:cs="PMingLiU" w:eastAsia="PMingLiU" w:hAnsi="PMingLiU"/>
          <w:sz w:val="16"/>
          <w:szCs w:val="16"/>
          <w:color w:val="231F20"/>
        </w:rPr>
        <w:t></w:t>
      </w:r>
      <w:r>
        <w:rPr>
          <w:rFonts w:ascii="Arial" w:cs="Arial" w:eastAsia="Arial" w:hAnsi="Arial"/>
          <w:sz w:val="16"/>
          <w:szCs w:val="16"/>
          <w:color w:val="231F20"/>
        </w:rPr>
        <w:t>ë</w:t>
      </w:r>
      <w:r>
        <w:rPr>
          <w:rFonts w:ascii="PMingLiU" w:cs="PMingLiU" w:eastAsia="PMingLiU" w:hAnsi="PMingLiU"/>
          <w:sz w:val="16"/>
          <w:szCs w:val="16"/>
          <w:color w:val="231F20"/>
        </w:rPr>
        <w:t></w:t>
      </w:r>
      <w:r>
        <w:rPr>
          <w:rFonts w:ascii="Arial" w:cs="Arial" w:eastAsia="Arial" w:hAnsi="Arial"/>
          <w:sz w:val="16"/>
          <w:szCs w:val="16"/>
          <w:color w:val="231F20"/>
        </w:rPr>
        <w:t>¾à</w:t>
      </w:r>
      <w:r>
        <w:rPr>
          <w:rFonts w:ascii="PMingLiU" w:cs="PMingLiU" w:eastAsia="PMingLiU" w:hAnsi="PMingLiU"/>
          <w:sz w:val="16"/>
          <w:szCs w:val="16"/>
          <w:color w:val="231F20"/>
        </w:rPr>
        <w:t></w:t>
      </w:r>
      <w:r>
        <w:rPr>
          <w:rFonts w:ascii="Arial" w:cs="Arial" w:eastAsia="Arial" w:hAnsi="Arial"/>
          <w:sz w:val="16"/>
          <w:szCs w:val="16"/>
          <w:color w:val="231F20"/>
        </w:rPr>
        <w:t>Ł~¾</w:t>
      </w:r>
      <w:r>
        <w:rPr>
          <w:rFonts w:ascii="PMingLiU" w:cs="PMingLiU" w:eastAsia="PMingLiU" w:hAnsi="PMingLiU"/>
          <w:sz w:val="16"/>
          <w:szCs w:val="16"/>
          <w:color w:val="231F20"/>
        </w:rPr>
        <w:t></w:t>
      </w:r>
      <w:r>
        <w:rPr>
          <w:rFonts w:ascii="Arial" w:cs="Arial" w:eastAsia="Arial" w:hAnsi="Arial"/>
          <w:sz w:val="16"/>
          <w:szCs w:val="16"/>
          <w:color w:val="231F20"/>
        </w:rPr>
        <w:t>Ł</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improved out bill-rates quarter over quarter, culminating in us achieving our highest-ever average bill rate of $87.32 per hour</w:t>
      </w:r>
    </w:p>
    <w:p>
      <w:pPr>
        <w:spacing w:after="0" w:line="33"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§¾ŁÜ¥</w:t>
      </w:r>
      <w:r>
        <w:rPr>
          <w:rFonts w:ascii="PMingLiU" w:cs="PMingLiU" w:eastAsia="PMingLiU" w:hAnsi="PMingLiU"/>
          <w:sz w:val="15"/>
          <w:szCs w:val="15"/>
          <w:color w:val="231F20"/>
        </w:rPr>
        <w:t></w:t>
      </w:r>
      <w:r>
        <w:rPr>
          <w:rFonts w:ascii="Arial" w:cs="Arial" w:eastAsia="Arial" w:hAnsi="Arial"/>
          <w:sz w:val="15"/>
          <w:szCs w:val="15"/>
          <w:color w:val="231F20"/>
        </w:rPr>
        <w:t>Ł ÄàÒÜ¥ŁÑà~ÒÜ</w:t>
      </w:r>
      <w:r>
        <w:rPr>
          <w:rFonts w:ascii="PMingLiU" w:cs="PMingLiU" w:eastAsia="PMingLiU" w:hAnsi="PMingLiU"/>
          <w:sz w:val="15"/>
          <w:szCs w:val="15"/>
          <w:color w:val="231F20"/>
        </w:rPr>
        <w:t></w:t>
      </w:r>
      <w:r>
        <w:rPr>
          <w:rFonts w:ascii="Arial" w:cs="Arial" w:eastAsia="Arial" w:hAnsi="Arial"/>
          <w:sz w:val="15"/>
          <w:szCs w:val="15"/>
          <w:color w:val="231F20"/>
        </w:rPr>
        <w:t>ÒŁŖŁ~Ł</w:t>
      </w:r>
      <w:r>
        <w:rPr>
          <w:rFonts w:ascii="PMingLiU" w:cs="PMingLiU" w:eastAsia="PMingLiU" w:hAnsi="PMingLiU"/>
          <w:sz w:val="15"/>
          <w:szCs w:val="15"/>
          <w:color w:val="231F20"/>
        </w:rPr>
        <w:t></w:t>
      </w:r>
      <w:r>
        <w:rPr>
          <w:rFonts w:ascii="Arial" w:cs="Arial" w:eastAsia="Arial" w:hAnsi="Arial"/>
          <w:sz w:val="15"/>
          <w:szCs w:val="15"/>
          <w:color w:val="231F20"/>
        </w:rPr>
        <w:t>§Ò</w:t>
      </w:r>
      <w:r>
        <w:rPr>
          <w:rFonts w:ascii="PMingLiU" w:cs="PMingLiU" w:eastAsia="PMingLiU" w:hAnsi="PMingLiU"/>
          <w:sz w:val="15"/>
          <w:szCs w:val="15"/>
          <w:color w:val="231F20"/>
        </w:rPr>
        <w:t></w:t>
      </w:r>
      <w:r>
        <w:rPr>
          <w:rFonts w:ascii="Arial" w:cs="Arial" w:eastAsia="Arial" w:hAnsi="Arial"/>
          <w:sz w:val="15"/>
          <w:szCs w:val="15"/>
          <w:color w:val="231F20"/>
        </w:rPr>
        <w:t>ÜŁÒ</w:t>
      </w:r>
      <w:r>
        <w:rPr>
          <w:rFonts w:ascii="PMingLiU" w:cs="PMingLiU" w:eastAsia="PMingLiU" w:hAnsi="PMingLiU"/>
          <w:sz w:val="15"/>
          <w:szCs w:val="15"/>
          <w:color w:val="231F20"/>
        </w:rPr>
        <w:t></w:t>
      </w:r>
      <w:r>
        <w:rPr>
          <w:rFonts w:ascii="Arial" w:cs="Arial" w:eastAsia="Arial" w:hAnsi="Arial"/>
          <w:sz w:val="15"/>
          <w:szCs w:val="15"/>
          <w:color w:val="231F20"/>
        </w:rPr>
        <w:t>Ğ</w:t>
      </w:r>
      <w:r>
        <w:rPr>
          <w:rFonts w:ascii="PMingLiU" w:cs="PMingLiU" w:eastAsia="PMingLiU" w:hAnsi="PMingLiU"/>
          <w:sz w:val="15"/>
          <w:szCs w:val="15"/>
          <w:color w:val="231F20"/>
        </w:rPr>
        <w:t></w:t>
      </w:r>
      <w:r>
        <w:rPr>
          <w:rFonts w:ascii="Arial" w:cs="Arial" w:eastAsia="Arial" w:hAnsi="Arial"/>
          <w:sz w:val="15"/>
          <w:szCs w:val="15"/>
          <w:color w:val="231F20"/>
        </w:rPr>
        <w:t>Ü§Ä¾ŁÄ ŁÄàÒŁ</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Ò~Ü</w:t>
      </w:r>
      <w:r>
        <w:rPr>
          <w:rFonts w:ascii="PMingLiU" w:cs="PMingLiU" w:eastAsia="PMingLiU" w:hAnsi="PMingLiU"/>
          <w:sz w:val="15"/>
          <w:szCs w:val="15"/>
          <w:color w:val="231F20"/>
        </w:rPr>
        <w:t></w:t>
      </w:r>
      <w:r>
        <w:rPr>
          <w:rFonts w:ascii="Arial" w:cs="Arial" w:eastAsia="Arial" w:hAnsi="Arial"/>
          <w:sz w:val="15"/>
          <w:szCs w:val="15"/>
          <w:color w:val="231F20"/>
        </w:rPr>
        <w:t>ŁÖ¥§ ÜŁÜÄì~Ò</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Òŕë~·à</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¾¡~¡</w:t>
      </w:r>
      <w:r>
        <w:rPr>
          <w:rFonts w:ascii="PMingLiU" w:cs="PMingLiU" w:eastAsia="PMingLiU" w:hAnsi="PMingLiU"/>
          <w:sz w:val="15"/>
          <w:szCs w:val="15"/>
          <w:color w:val="231F20"/>
        </w:rPr>
        <w:t></w:t>
      </w:r>
      <w:r>
        <w:rPr>
          <w:rFonts w:ascii="Arial" w:cs="Arial" w:eastAsia="Arial" w:hAnsi="Arial"/>
          <w:sz w:val="15"/>
          <w:szCs w:val="15"/>
          <w:color w:val="231F20"/>
        </w:rPr>
        <w:t>½</w:t>
      </w:r>
      <w:r>
        <w:rPr>
          <w:rFonts w:ascii="PMingLiU" w:cs="PMingLiU" w:eastAsia="PMingLiU" w:hAnsi="PMingLiU"/>
          <w:sz w:val="15"/>
          <w:szCs w:val="15"/>
          <w:color w:val="231F20"/>
        </w:rPr>
        <w:t></w:t>
      </w:r>
      <w:r>
        <w:rPr>
          <w:rFonts w:ascii="Arial" w:cs="Arial" w:eastAsia="Arial" w:hAnsi="Arial"/>
          <w:sz w:val="15"/>
          <w:szCs w:val="15"/>
          <w:color w:val="231F20"/>
        </w:rPr>
        <w:t>¾ÜÖŁ~¾</w:t>
      </w:r>
      <w:r>
        <w:rPr>
          <w:rFonts w:ascii="PMingLiU" w:cs="PMingLiU" w:eastAsia="PMingLiU" w:hAnsi="PMingLiU"/>
          <w:sz w:val="15"/>
          <w:szCs w:val="15"/>
          <w:color w:val="231F20"/>
        </w:rPr>
        <w:t></w:t>
      </w:r>
      <w:r>
        <w:rPr>
          <w:rFonts w:ascii="Arial" w:cs="Arial" w:eastAsia="Arial" w:hAnsi="Arial"/>
          <w:sz w:val="15"/>
          <w:szCs w:val="15"/>
          <w:color w:val="231F20"/>
        </w:rPr>
        <w:t>ŁÄàÒŁÏÄÖ§Ü§Ä¾§¾¡ŁÄ Ł</w:t>
      </w:r>
    </w:p>
    <w:p>
      <w:pPr>
        <w:spacing w:after="0" w:line="58"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ÖÜ~ ĝ¾¡Ł</w:t>
      </w:r>
      <w:r>
        <w:rPr>
          <w:rFonts w:ascii="PMingLiU" w:cs="PMingLiU" w:eastAsia="PMingLiU" w:hAnsi="PMingLiU"/>
          <w:sz w:val="14"/>
          <w:szCs w:val="14"/>
          <w:color w:val="231F20"/>
        </w:rPr>
        <w:t></w:t>
      </w:r>
      <w:r>
        <w:rPr>
          <w:rFonts w:ascii="Arial" w:cs="Arial" w:eastAsia="Arial" w:hAnsi="Arial"/>
          <w:sz w:val="14"/>
          <w:szCs w:val="14"/>
          <w:color w:val="231F20"/>
        </w:rPr>
        <w:t>Ä¾Öà·Ü~¾ÜÖŁ~ÖŁ</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ÒÖŁÄ 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¾ÜÖŪŁ</w:t>
      </w:r>
      <w:r>
        <w:rPr>
          <w:rFonts w:ascii="PMingLiU" w:cs="PMingLiU" w:eastAsia="PMingLiU" w:hAnsi="PMingLiU"/>
          <w:sz w:val="14"/>
          <w:szCs w:val="14"/>
          <w:color w:val="231F20"/>
        </w:rPr>
        <w:t/>
      </w:r>
      <w:r>
        <w:rPr>
          <w:rFonts w:ascii="Arial" w:cs="Arial" w:eastAsia="Arial" w:hAnsi="Arial"/>
          <w:sz w:val="14"/>
          <w:szCs w:val="14"/>
          <w:color w:val="231F20"/>
        </w:rPr>
        <w:t>*Ł½Ä</w:t>
      </w:r>
      <w:r>
        <w:rPr>
          <w:rFonts w:ascii="PMingLiU" w:cs="PMingLiU" w:eastAsia="PMingLiU" w:hAnsi="PMingLiU"/>
          <w:sz w:val="14"/>
          <w:szCs w:val="14"/>
          <w:color w:val="231F20"/>
        </w:rPr>
        <w:t></w:t>
      </w:r>
      <w:r>
        <w:rPr>
          <w:rFonts w:ascii="Arial" w:cs="Arial" w:eastAsia="Arial" w:hAnsi="Arial"/>
          <w:sz w:val="14"/>
          <w:szCs w:val="14"/>
          <w:color w:val="231F20"/>
        </w:rPr>
        <w:t>Ò¾§ø~Ü§Ä¾Ł³ÄàÒ¾</w:t>
      </w:r>
      <w:r>
        <w:rPr>
          <w:rFonts w:ascii="PMingLiU" w:cs="PMingLiU" w:eastAsia="PMingLiU" w:hAnsi="PMingLiU"/>
          <w:sz w:val="14"/>
          <w:szCs w:val="14"/>
          <w:color w:val="231F20"/>
        </w:rPr>
        <w:t></w:t>
      </w:r>
      <w:r>
        <w:rPr>
          <w:rFonts w:ascii="Arial" w:cs="Arial" w:eastAsia="Arial" w:hAnsi="Arial"/>
          <w:sz w:val="14"/>
          <w:szCs w:val="14"/>
          <w:color w:val="231F20"/>
        </w:rPr>
        <w:t>òÖńŁ]¥</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Äà¾ÜŁ</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Ł§¾ŁRĦŁì~ÒÒ~¾ÜÖŁ</w:t>
      </w:r>
      <w:r>
        <w:rPr>
          <w:rFonts w:ascii="PMingLiU" w:cs="PMingLiU" w:eastAsia="PMingLiU" w:hAnsi="PMingLiU"/>
          <w:sz w:val="14"/>
          <w:szCs w:val="14"/>
          <w:color w:val="231F20"/>
        </w:rPr>
        <w:t></w:t>
      </w:r>
      <w:r>
        <w:rPr>
          <w:rFonts w:ascii="Arial" w:cs="Arial" w:eastAsia="Arial" w:hAnsi="Arial"/>
          <w:sz w:val="14"/>
          <w:szCs w:val="14"/>
          <w:color w:val="231F20"/>
        </w:rPr>
        <w:t>Ä¾Ü</w:t>
      </w:r>
      <w:r>
        <w:rPr>
          <w:rFonts w:ascii="PMingLiU" w:cs="PMingLiU" w:eastAsia="PMingLiU" w:hAnsi="PMingLiU"/>
          <w:sz w:val="14"/>
          <w:szCs w:val="14"/>
          <w:color w:val="231F20"/>
        </w:rPr>
        <w:t></w:t>
      </w:r>
      <w:r>
        <w:rPr>
          <w:rFonts w:ascii="Arial" w:cs="Arial" w:eastAsia="Arial" w:hAnsi="Arial"/>
          <w:sz w:val="14"/>
          <w:szCs w:val="14"/>
          <w:color w:val="231F20"/>
        </w:rPr>
        <w:t>ñÜņŁ</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231F20"/>
        </w:rPr>
        <w:t>the majority of that reduction was attributable to a client-driven insourcing action by one of our top ten accounts and our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deliberate, strategic exit from a lower-margin business. The underlying business performed in line with expectations, and we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exited the year with improved revenue quality as a result.</w:t>
      </w:r>
    </w:p>
    <w:p>
      <w:pPr>
        <w:spacing w:after="0" w:line="273" w:lineRule="exact"/>
        <w:rPr>
          <w:sz w:val="20"/>
          <w:szCs w:val="20"/>
          <w:color w:val="auto"/>
        </w:rPr>
      </w:pPr>
    </w:p>
    <w:p>
      <w:pPr>
        <w:spacing w:after="0" w:line="194" w:lineRule="exact"/>
        <w:rPr>
          <w:sz w:val="20"/>
          <w:szCs w:val="20"/>
          <w:color w:val="auto"/>
        </w:rPr>
      </w:pPr>
      <w:r>
        <w:rPr>
          <w:rFonts w:ascii="Arial" w:cs="Arial" w:eastAsia="Arial" w:hAnsi="Arial"/>
          <w:sz w:val="16"/>
          <w:szCs w:val="16"/>
          <w:color w:val="231F20"/>
        </w:rPr>
        <w:t>EàÒŁ</w:t>
      </w:r>
      <w:r>
        <w:rPr>
          <w:rFonts w:ascii="PMingLiU" w:cs="PMingLiU" w:eastAsia="PMingLiU" w:hAnsi="PMingLiU"/>
          <w:sz w:val="16"/>
          <w:szCs w:val="16"/>
          <w:color w:val="231F20"/>
        </w:rPr>
        <w:t/>
      </w:r>
      <w:r>
        <w:rPr>
          <w:rFonts w:ascii="Arial" w:cs="Arial" w:eastAsia="Arial" w:hAnsi="Arial"/>
          <w:sz w:val="16"/>
          <w:szCs w:val="16"/>
          <w:color w:val="231F20"/>
        </w:rPr>
        <w:t>~Ü~Ł~¾</w:t>
      </w:r>
      <w:r>
        <w:rPr>
          <w:rFonts w:ascii="PMingLiU" w:cs="PMingLiU" w:eastAsia="PMingLiU" w:hAnsi="PMingLiU"/>
          <w:sz w:val="16"/>
          <w:szCs w:val="16"/>
          <w:color w:val="231F20"/>
        </w:rPr>
        <w:t></w:t>
      </w:r>
      <w:r>
        <w:rPr>
          <w:rFonts w:ascii="Arial" w:cs="Arial" w:eastAsia="Arial" w:hAnsi="Arial"/>
          <w:sz w:val="16"/>
          <w:szCs w:val="16"/>
          <w:color w:val="231F20"/>
        </w:rPr>
        <w:t>Ł</w:t>
      </w:r>
      <w:r>
        <w:rPr>
          <w:rFonts w:ascii="PMingLiU" w:cs="PMingLiU" w:eastAsia="PMingLiU" w:hAnsi="PMingLiU"/>
          <w:sz w:val="16"/>
          <w:szCs w:val="16"/>
          <w:color w:val="231F20"/>
        </w:rPr>
        <w:t/>
      </w:r>
      <w:r>
        <w:rPr>
          <w:rFonts w:ascii="Arial" w:cs="Arial" w:eastAsia="Arial" w:hAnsi="Arial"/>
          <w:sz w:val="16"/>
          <w:szCs w:val="16"/>
          <w:color w:val="231F20"/>
        </w:rPr>
        <w:t>¾~·òÜ§</w:t>
      </w:r>
      <w:r>
        <w:rPr>
          <w:rFonts w:ascii="PMingLiU" w:cs="PMingLiU" w:eastAsia="PMingLiU" w:hAnsi="PMingLiU"/>
          <w:sz w:val="16"/>
          <w:szCs w:val="16"/>
          <w:color w:val="231F20"/>
        </w:rPr>
        <w:t></w:t>
      </w:r>
      <w:r>
        <w:rPr>
          <w:rFonts w:ascii="Arial" w:cs="Arial" w:eastAsia="Arial" w:hAnsi="Arial"/>
          <w:sz w:val="16"/>
          <w:szCs w:val="16"/>
          <w:color w:val="231F20"/>
        </w:rPr>
        <w:t>ÖŁW</w:t>
      </w:r>
      <w:r>
        <w:rPr>
          <w:rFonts w:ascii="PMingLiU" w:cs="PMingLiU" w:eastAsia="PMingLiU" w:hAnsi="PMingLiU"/>
          <w:sz w:val="16"/>
          <w:szCs w:val="16"/>
          <w:color w:val="231F20"/>
        </w:rPr>
        <w:t></w:t>
      </w:r>
      <w:r>
        <w:rPr>
          <w:rFonts w:ascii="Arial" w:cs="Arial" w:eastAsia="Arial" w:hAnsi="Arial"/>
          <w:sz w:val="16"/>
          <w:szCs w:val="16"/>
          <w:color w:val="231F20"/>
        </w:rPr>
        <w:t>Òë§</w:t>
      </w:r>
      <w:r>
        <w:rPr>
          <w:rFonts w:ascii="PMingLiU" w:cs="PMingLiU" w:eastAsia="PMingLiU" w:hAnsi="PMingLiU"/>
          <w:sz w:val="16"/>
          <w:szCs w:val="16"/>
          <w:color w:val="231F20"/>
        </w:rPr>
        <w:t></w:t>
      </w:r>
      <w:r>
        <w:rPr>
          <w:rFonts w:ascii="Arial" w:cs="Arial" w:eastAsia="Arial" w:hAnsi="Arial"/>
          <w:sz w:val="16"/>
          <w:szCs w:val="16"/>
          <w:color w:val="231F20"/>
        </w:rPr>
        <w:t>ÖŁÖ</w:t>
      </w:r>
      <w:r>
        <w:rPr>
          <w:rFonts w:ascii="PMingLiU" w:cs="PMingLiU" w:eastAsia="PMingLiU" w:hAnsi="PMingLiU"/>
          <w:sz w:val="16"/>
          <w:szCs w:val="16"/>
          <w:color w:val="231F20"/>
        </w:rPr>
        <w:t></w:t>
      </w:r>
      <w:r>
        <w:rPr>
          <w:rFonts w:ascii="Arial" w:cs="Arial" w:eastAsia="Arial" w:hAnsi="Arial"/>
          <w:sz w:val="16"/>
          <w:szCs w:val="16"/>
          <w:color w:val="231F20"/>
        </w:rPr>
        <w:t>¡½</w:t>
      </w:r>
      <w:r>
        <w:rPr>
          <w:rFonts w:ascii="PMingLiU" w:cs="PMingLiU" w:eastAsia="PMingLiU" w:hAnsi="PMingLiU"/>
          <w:sz w:val="16"/>
          <w:szCs w:val="16"/>
          <w:color w:val="231F20"/>
        </w:rPr>
        <w:t></w:t>
      </w:r>
      <w:r>
        <w:rPr>
          <w:rFonts w:ascii="Arial" w:cs="Arial" w:eastAsia="Arial" w:hAnsi="Arial"/>
          <w:sz w:val="16"/>
          <w:szCs w:val="16"/>
          <w:color w:val="231F20"/>
        </w:rPr>
        <w:t>¾ÜŁÒ</w:t>
      </w:r>
      <w:r>
        <w:rPr>
          <w:rFonts w:ascii="PMingLiU" w:cs="PMingLiU" w:eastAsia="PMingLiU" w:hAnsi="PMingLiU"/>
          <w:sz w:val="16"/>
          <w:szCs w:val="16"/>
          <w:color w:val="231F20"/>
        </w:rPr>
        <w:t></w:t>
      </w:r>
      <w:r>
        <w:rPr>
          <w:rFonts w:ascii="Arial" w:cs="Arial" w:eastAsia="Arial" w:hAnsi="Arial"/>
          <w:sz w:val="16"/>
          <w:szCs w:val="16"/>
          <w:color w:val="231F20"/>
        </w:rPr>
        <w:t>ÏÄÒÜ</w:t>
      </w:r>
      <w:r>
        <w:rPr>
          <w:rFonts w:ascii="PMingLiU" w:cs="PMingLiU" w:eastAsia="PMingLiU" w:hAnsi="PMingLiU"/>
          <w:sz w:val="16"/>
          <w:szCs w:val="16"/>
          <w:color w:val="231F20"/>
        </w:rPr>
        <w:t></w:t>
      </w:r>
      <w:r>
        <w:rPr>
          <w:rFonts w:ascii="Arial" w:cs="Arial" w:eastAsia="Arial" w:hAnsi="Arial"/>
          <w:sz w:val="16"/>
          <w:szCs w:val="16"/>
          <w:color w:val="231F20"/>
        </w:rPr>
        <w:t>Ł à··ŕò</w:t>
      </w:r>
      <w:r>
        <w:rPr>
          <w:rFonts w:ascii="PMingLiU" w:cs="PMingLiU" w:eastAsia="PMingLiU" w:hAnsi="PMingLiU"/>
          <w:sz w:val="16"/>
          <w:szCs w:val="16"/>
          <w:color w:val="231F20"/>
        </w:rPr>
        <w:t></w:t>
      </w:r>
      <w:r>
        <w:rPr>
          <w:rFonts w:ascii="Arial" w:cs="Arial" w:eastAsia="Arial" w:hAnsi="Arial"/>
          <w:sz w:val="16"/>
          <w:szCs w:val="16"/>
          <w:color w:val="231F20"/>
        </w:rPr>
        <w:t>~ÒŁÒ</w:t>
      </w:r>
      <w:r>
        <w:rPr>
          <w:rFonts w:ascii="PMingLiU" w:cs="PMingLiU" w:eastAsia="PMingLiU" w:hAnsi="PMingLiU"/>
          <w:sz w:val="16"/>
          <w:szCs w:val="16"/>
          <w:color w:val="231F20"/>
        </w:rPr>
        <w:t></w:t>
      </w:r>
      <w:r>
        <w:rPr>
          <w:rFonts w:ascii="Arial" w:cs="Arial" w:eastAsia="Arial" w:hAnsi="Arial"/>
          <w:sz w:val="16"/>
          <w:szCs w:val="16"/>
          <w:color w:val="231F20"/>
        </w:rPr>
        <w:t>ë</w:t>
      </w:r>
      <w:r>
        <w:rPr>
          <w:rFonts w:ascii="PMingLiU" w:cs="PMingLiU" w:eastAsia="PMingLiU" w:hAnsi="PMingLiU"/>
          <w:sz w:val="16"/>
          <w:szCs w:val="16"/>
          <w:color w:val="231F20"/>
        </w:rPr>
        <w:t></w:t>
      </w:r>
      <w:r>
        <w:rPr>
          <w:rFonts w:ascii="Arial" w:cs="Arial" w:eastAsia="Arial" w:hAnsi="Arial"/>
          <w:sz w:val="16"/>
          <w:szCs w:val="16"/>
          <w:color w:val="231F20"/>
        </w:rPr>
        <w:t>¾à</w:t>
      </w:r>
      <w:r>
        <w:rPr>
          <w:rFonts w:ascii="PMingLiU" w:cs="PMingLiU" w:eastAsia="PMingLiU" w:hAnsi="PMingLiU"/>
          <w:sz w:val="16"/>
          <w:szCs w:val="16"/>
          <w:color w:val="231F20"/>
        </w:rPr>
        <w:t></w:t>
      </w:r>
      <w:r>
        <w:rPr>
          <w:rFonts w:ascii="Arial" w:cs="Arial" w:eastAsia="Arial" w:hAnsi="Arial"/>
          <w:sz w:val="16"/>
          <w:szCs w:val="16"/>
          <w:color w:val="231F20"/>
        </w:rPr>
        <w:t>ÖŁÄ ŁƄĥĥńĥŁ½§··§Ä¾ńŁm¥§·</w:t>
      </w:r>
      <w:r>
        <w:rPr>
          <w:rFonts w:ascii="PMingLiU" w:cs="PMingLiU" w:eastAsia="PMingLiU" w:hAnsi="PMingLiU"/>
          <w:sz w:val="16"/>
          <w:szCs w:val="16"/>
          <w:color w:val="231F20"/>
        </w:rPr>
        <w:t></w:t>
      </w:r>
      <w:r>
        <w:rPr>
          <w:rFonts w:ascii="Arial" w:cs="Arial" w:eastAsia="Arial" w:hAnsi="Arial"/>
          <w:sz w:val="16"/>
          <w:szCs w:val="16"/>
          <w:color w:val="231F20"/>
        </w:rPr>
        <w:t>ŁÒ</w:t>
      </w:r>
      <w:r>
        <w:rPr>
          <w:rFonts w:ascii="PMingLiU" w:cs="PMingLiU" w:eastAsia="PMingLiU" w:hAnsi="PMingLiU"/>
          <w:sz w:val="16"/>
          <w:szCs w:val="16"/>
          <w:color w:val="231F20"/>
        </w:rPr>
        <w:t></w:t>
      </w:r>
      <w:r>
        <w:rPr>
          <w:rFonts w:ascii="Arial" w:cs="Arial" w:eastAsia="Arial" w:hAnsi="Arial"/>
          <w:sz w:val="16"/>
          <w:szCs w:val="16"/>
          <w:color w:val="231F20"/>
        </w:rPr>
        <w:t>ë</w:t>
      </w:r>
      <w:r>
        <w:rPr>
          <w:rFonts w:ascii="PMingLiU" w:cs="PMingLiU" w:eastAsia="PMingLiU" w:hAnsi="PMingLiU"/>
          <w:sz w:val="16"/>
          <w:szCs w:val="16"/>
          <w:color w:val="231F20"/>
        </w:rPr>
        <w:t></w:t>
      </w:r>
      <w:r>
        <w:rPr>
          <w:rFonts w:ascii="Arial" w:cs="Arial" w:eastAsia="Arial" w:hAnsi="Arial"/>
          <w:sz w:val="16"/>
          <w:szCs w:val="16"/>
          <w:color w:val="231F20"/>
        </w:rPr>
        <w:t>¾à</w:t>
      </w:r>
      <w:r>
        <w:rPr>
          <w:rFonts w:ascii="PMingLiU" w:cs="PMingLiU" w:eastAsia="PMingLiU" w:hAnsi="PMingLiU"/>
          <w:sz w:val="16"/>
          <w:szCs w:val="16"/>
          <w:color w:val="231F20"/>
        </w:rPr>
        <w:t></w:t>
      </w:r>
      <w:r>
        <w:rPr>
          <w:rFonts w:ascii="Arial" w:cs="Arial" w:eastAsia="Arial" w:hAnsi="Arial"/>
          <w:sz w:val="16"/>
          <w:szCs w:val="16"/>
          <w:color w:val="231F20"/>
        </w:rPr>
        <w:t>ÖŁ</w:t>
      </w:r>
      <w:r>
        <w:rPr>
          <w:rFonts w:ascii="PMingLiU" w:cs="PMingLiU" w:eastAsia="PMingLiU" w:hAnsi="PMingLiU"/>
          <w:sz w:val="16"/>
          <w:szCs w:val="16"/>
          <w:color w:val="231F20"/>
        </w:rPr>
        <w:t></w:t>
      </w:r>
      <w:r>
        <w:rPr>
          <w:rFonts w:ascii="Arial" w:cs="Arial" w:eastAsia="Arial" w:hAnsi="Arial"/>
          <w:sz w:val="16"/>
          <w:szCs w:val="16"/>
          <w:color w:val="231F20"/>
        </w:rPr>
        <w:t>·§¾</w:t>
      </w:r>
      <w:r>
        <w:rPr>
          <w:rFonts w:ascii="PMingLiU" w:cs="PMingLiU" w:eastAsia="PMingLiU" w:hAnsi="PMingLiU"/>
          <w:sz w:val="16"/>
          <w:szCs w:val="16"/>
          <w:color w:val="231F20"/>
        </w:rPr>
        <w:t></w:t>
      </w:r>
      <w:r>
        <w:rPr>
          <w:rFonts w:ascii="Arial" w:cs="Arial" w:eastAsia="Arial" w:hAnsi="Arial"/>
          <w:sz w:val="16"/>
          <w:szCs w:val="16"/>
          <w:color w:val="231F20"/>
        </w:rPr>
        <w:t>ŁīńģƥŁ</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year-over-year, largely due to backlog reversals from certain 2024 engagements, we saw an important leading indicator</w:t>
      </w:r>
    </w:p>
    <w:p>
      <w:pPr>
        <w:spacing w:after="0" w:line="33" w:lineRule="exact"/>
        <w:rPr>
          <w:sz w:val="20"/>
          <w:szCs w:val="20"/>
          <w:color w:val="auto"/>
        </w:rPr>
      </w:pPr>
    </w:p>
    <w:p>
      <w:pPr>
        <w:spacing w:after="0" w:line="170" w:lineRule="exact"/>
        <w:rPr>
          <w:sz w:val="20"/>
          <w:szCs w:val="20"/>
          <w:color w:val="auto"/>
        </w:rPr>
      </w:pPr>
      <w:r>
        <w:rPr>
          <w:rFonts w:ascii="PMingLiU" w:cs="PMingLiU" w:eastAsia="PMingLiU" w:hAnsi="PMingLiU"/>
          <w:sz w:val="14"/>
          <w:szCs w:val="14"/>
          <w:color w:val="231F20"/>
        </w:rPr>
        <w:t></w:t>
      </w:r>
      <w:r>
        <w:rPr>
          <w:rFonts w:ascii="Arial" w:cs="Arial" w:eastAsia="Arial" w:hAnsi="Arial"/>
          <w:sz w:val="14"/>
          <w:szCs w:val="14"/>
          <w:color w:val="231F20"/>
        </w:rPr>
        <w:t>½</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Ł§¾ŁÜ¥</w:t>
      </w:r>
      <w:r>
        <w:rPr>
          <w:rFonts w:ascii="PMingLiU" w:cs="PMingLiU" w:eastAsia="PMingLiU" w:hAnsi="PMingLiU"/>
          <w:sz w:val="14"/>
          <w:szCs w:val="14"/>
          <w:color w:val="231F20"/>
        </w:rPr>
        <w:t></w:t>
      </w:r>
      <w:r>
        <w:rPr>
          <w:rFonts w:ascii="Arial" w:cs="Arial" w:eastAsia="Arial" w:hAnsi="Arial"/>
          <w:sz w:val="14"/>
          <w:szCs w:val="14"/>
          <w:color w:val="231F20"/>
        </w:rPr>
        <w:t>Ł ÄàÒÜ¥ŁÑà~ÒÜ</w:t>
      </w:r>
      <w:r>
        <w:rPr>
          <w:rFonts w:ascii="PMingLiU" w:cs="PMingLiU" w:eastAsia="PMingLiU" w:hAnsi="PMingLiU"/>
          <w:sz w:val="14"/>
          <w:szCs w:val="14"/>
          <w:color w:val="231F20"/>
        </w:rPr>
        <w:t></w:t>
      </w:r>
      <w:r>
        <w:rPr>
          <w:rFonts w:ascii="Arial" w:cs="Arial" w:eastAsia="Arial" w:hAnsi="Arial"/>
          <w:sz w:val="14"/>
          <w:szCs w:val="14"/>
          <w:color w:val="231F20"/>
        </w:rPr>
        <w:t>ÒņŁ</w:t>
      </w:r>
      <w:r>
        <w:rPr>
          <w:rFonts w:ascii="PMingLiU" w:cs="PMingLiU" w:eastAsia="PMingLiU" w:hAnsi="PMingLiU"/>
          <w:sz w:val="14"/>
          <w:szCs w:val="14"/>
          <w:color w:val="231F20"/>
        </w:rPr>
        <w:t></w:t>
      </w:r>
      <w:r>
        <w:rPr>
          <w:rFonts w:ascii="Arial" w:cs="Arial" w:eastAsia="Arial" w:hAnsi="Arial"/>
          <w:sz w:val="14"/>
          <w:szCs w:val="14"/>
          <w:color w:val="231F20"/>
        </w:rPr>
        <w:t>ÄÄµ§¾¡ÖŁÄ ŁƄģģńĥŁ½§··§Ä¾ŅŁàÏŁ¾</w:t>
      </w:r>
      <w:r>
        <w:rPr>
          <w:rFonts w:ascii="PMingLiU" w:cs="PMingLiU" w:eastAsia="PMingLiU" w:hAnsi="PMingLiU"/>
          <w:sz w:val="14"/>
          <w:szCs w:val="14"/>
          <w:color w:val="231F20"/>
        </w:rPr>
        <w:t></w:t>
      </w:r>
      <w:r>
        <w:rPr>
          <w:rFonts w:ascii="Arial" w:cs="Arial" w:eastAsia="Arial" w:hAnsi="Arial"/>
          <w:sz w:val="14"/>
          <w:szCs w:val="14"/>
          <w:color w:val="231F20"/>
        </w:rPr>
        <w:t>~Ò·òŁĥĩƥŁÄë</w:t>
      </w:r>
      <w:r>
        <w:rPr>
          <w:rFonts w:ascii="PMingLiU" w:cs="PMingLiU" w:eastAsia="PMingLiU" w:hAnsi="PMingLiU"/>
          <w:sz w:val="14"/>
          <w:szCs w:val="14"/>
          <w:color w:val="231F20"/>
        </w:rPr>
        <w:t></w:t>
      </w:r>
      <w:r>
        <w:rPr>
          <w:rFonts w:ascii="Arial" w:cs="Arial" w:eastAsia="Arial" w:hAnsi="Arial"/>
          <w:sz w:val="14"/>
          <w:szCs w:val="14"/>
          <w:color w:val="231F20"/>
        </w:rPr>
        <w:t>ÒŁÜ¥</w:t>
      </w:r>
      <w:r>
        <w:rPr>
          <w:rFonts w:ascii="PMingLiU" w:cs="PMingLiU" w:eastAsia="PMingLiU" w:hAnsi="PMingLiU"/>
          <w:sz w:val="14"/>
          <w:szCs w:val="14"/>
          <w:color w:val="231F20"/>
        </w:rPr>
        <w:t></w:t>
      </w:r>
      <w:r>
        <w:rPr>
          <w:rFonts w:ascii="Arial" w:cs="Arial" w:eastAsia="Arial" w:hAnsi="Arial"/>
          <w:sz w:val="14"/>
          <w:szCs w:val="14"/>
          <w:color w:val="231F20"/>
        </w:rPr>
        <w:t>ŁÖ~½</w:t>
      </w:r>
      <w:r>
        <w:rPr>
          <w:rFonts w:ascii="PMingLiU" w:cs="PMingLiU" w:eastAsia="PMingLiU" w:hAnsi="PMingLiU"/>
          <w:sz w:val="14"/>
          <w:szCs w:val="14"/>
          <w:color w:val="231F20"/>
        </w:rPr>
        <w:t></w:t>
      </w:r>
      <w:r>
        <w:rPr>
          <w:rFonts w:ascii="Arial" w:cs="Arial" w:eastAsia="Arial" w:hAnsi="Arial"/>
          <w:sz w:val="14"/>
          <w:szCs w:val="14"/>
          <w:color w:val="231F20"/>
        </w:rPr>
        <w:t>ŁÏ</w:t>
      </w:r>
      <w:r>
        <w:rPr>
          <w:rFonts w:ascii="PMingLiU" w:cs="PMingLiU" w:eastAsia="PMingLiU" w:hAnsi="PMingLiU"/>
          <w:sz w:val="14"/>
          <w:szCs w:val="14"/>
          <w:color w:val="231F20"/>
        </w:rPr>
        <w:t></w:t>
      </w:r>
      <w:r>
        <w:rPr>
          <w:rFonts w:ascii="Arial" w:cs="Arial" w:eastAsia="Arial" w:hAnsi="Arial"/>
          <w:sz w:val="14"/>
          <w:szCs w:val="14"/>
          <w:color w:val="231F20"/>
        </w:rPr>
        <w:t>Ò§Ä</w:t>
      </w:r>
      <w:r>
        <w:rPr>
          <w:rFonts w:ascii="PMingLiU" w:cs="PMingLiU" w:eastAsia="PMingLiU" w:hAnsi="PMingLiU"/>
          <w:sz w:val="14"/>
          <w:szCs w:val="14"/>
          <w:color w:val="231F20"/>
        </w:rPr>
        <w:t></w:t>
      </w:r>
      <w:r>
        <w:rPr>
          <w:rFonts w:ascii="Arial" w:cs="Arial" w:eastAsia="Arial" w:hAnsi="Arial"/>
          <w:sz w:val="14"/>
          <w:szCs w:val="14"/>
          <w:color w:val="231F20"/>
        </w:rPr>
        <w:t>Ł·~ÖÜŁò</w:t>
      </w:r>
      <w:r>
        <w:rPr>
          <w:rFonts w:ascii="PMingLiU" w:cs="PMingLiU" w:eastAsia="PMingLiU" w:hAnsi="PMingLiU"/>
          <w:sz w:val="14"/>
          <w:szCs w:val="14"/>
          <w:color w:val="231F20"/>
        </w:rPr>
        <w:t></w:t>
      </w:r>
      <w:r>
        <w:rPr>
          <w:rFonts w:ascii="Arial" w:cs="Arial" w:eastAsia="Arial" w:hAnsi="Arial"/>
          <w:sz w:val="14"/>
          <w:szCs w:val="14"/>
          <w:color w:val="231F20"/>
        </w:rPr>
        <w:t>~ÒŅŁ</w:t>
      </w:r>
      <w:r>
        <w:rPr>
          <w:rFonts w:ascii="PMingLiU" w:cs="PMingLiU" w:eastAsia="PMingLiU" w:hAnsi="PMingLiU"/>
          <w:sz w:val="14"/>
          <w:szCs w:val="14"/>
          <w:color w:val="231F20"/>
        </w:rPr>
        <w:t></w:t>
      </w:r>
      <w:r>
        <w:rPr>
          <w:rFonts w:ascii="Arial" w:cs="Arial" w:eastAsia="Arial" w:hAnsi="Arial"/>
          <w:sz w:val="14"/>
          <w:szCs w:val="14"/>
          <w:color w:val="231F20"/>
        </w:rPr>
        <w:t>Ò§ë</w:t>
      </w:r>
      <w:r>
        <w:rPr>
          <w:rFonts w:ascii="PMingLiU" w:cs="PMingLiU" w:eastAsia="PMingLiU" w:hAnsi="PMingLiU"/>
          <w:sz w:val="14"/>
          <w:szCs w:val="14"/>
          <w:color w:val="231F20"/>
        </w:rPr>
        <w:t></w:t>
      </w:r>
      <w:r>
        <w:rPr>
          <w:rFonts w:ascii="Arial" w:cs="Arial" w:eastAsia="Arial" w:hAnsi="Arial"/>
          <w:sz w:val="14"/>
          <w:szCs w:val="14"/>
          <w:color w:val="231F20"/>
        </w:rPr>
        <w:t>¾Ł</w:t>
      </w:r>
      <w:r>
        <w:rPr>
          <w:rFonts w:ascii="PMingLiU" w:cs="PMingLiU" w:eastAsia="PMingLiU" w:hAnsi="PMingLiU"/>
          <w:sz w:val="14"/>
          <w:szCs w:val="14"/>
          <w:color w:val="231F20"/>
        </w:rPr>
        <w:t></w:t>
      </w:r>
      <w:r>
        <w:rPr>
          <w:rFonts w:ascii="Arial" w:cs="Arial" w:eastAsia="Arial" w:hAnsi="Arial"/>
          <w:sz w:val="14"/>
          <w:szCs w:val="14"/>
          <w:color w:val="231F20"/>
        </w:rPr>
        <w:t>òŁÖÜÒÄ¾¡Ł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¾ÜŁ</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231F20"/>
        </w:rPr>
        <w:t>renewals that we believe speak to the trust and value we continue to deliver. This gives us conviction as we enter 2026.</w:t>
      </w:r>
    </w:p>
    <w:p>
      <w:pPr>
        <w:spacing w:after="0" w:line="266" w:lineRule="exact"/>
        <w:rPr>
          <w:sz w:val="20"/>
          <w:szCs w:val="20"/>
          <w:color w:val="auto"/>
        </w:rPr>
      </w:pPr>
    </w:p>
    <w:p>
      <w:pPr>
        <w:spacing w:after="0"/>
        <w:rPr>
          <w:sz w:val="20"/>
          <w:szCs w:val="20"/>
          <w:color w:val="auto"/>
        </w:rPr>
      </w:pPr>
      <w:r>
        <w:rPr>
          <w:rFonts w:ascii="Arial" w:cs="Arial" w:eastAsia="Arial" w:hAnsi="Arial"/>
          <w:sz w:val="26"/>
          <w:szCs w:val="26"/>
          <w:b w:val="1"/>
          <w:bCs w:val="1"/>
          <w:color w:val="10568C"/>
        </w:rPr>
        <w:t>2025 Financial Performance: A Year of Transition</w:t>
      </w:r>
    </w:p>
    <w:p>
      <w:pPr>
        <w:spacing w:after="0" w:line="140" w:lineRule="exact"/>
        <w:rPr>
          <w:sz w:val="20"/>
          <w:szCs w:val="20"/>
          <w:color w:val="auto"/>
        </w:rPr>
      </w:pPr>
    </w:p>
    <w:p>
      <w:pPr>
        <w:ind w:right="300"/>
        <w:spacing w:after="0" w:line="237" w:lineRule="exact"/>
        <w:rPr>
          <w:sz w:val="20"/>
          <w:szCs w:val="20"/>
          <w:color w:val="auto"/>
        </w:rPr>
      </w:pPr>
      <w:r>
        <w:rPr>
          <w:rFonts w:ascii="Arial" w:cs="Arial" w:eastAsia="Arial" w:hAnsi="Arial"/>
          <w:sz w:val="14"/>
          <w:szCs w:val="14"/>
          <w:color w:val="231F20"/>
        </w:rPr>
        <w:t>#ÄÒŁÜ¥</w:t>
      </w:r>
      <w:r>
        <w:rPr>
          <w:rFonts w:ascii="PMingLiU" w:cs="PMingLiU" w:eastAsia="PMingLiU" w:hAnsi="PMingLiU"/>
          <w:sz w:val="14"/>
          <w:szCs w:val="14"/>
          <w:color w:val="231F20"/>
        </w:rPr>
        <w:t></w:t>
      </w:r>
      <w:r>
        <w:rPr>
          <w:rFonts w:ascii="Arial" w:cs="Arial" w:eastAsia="Arial" w:hAnsi="Arial"/>
          <w:sz w:val="14"/>
          <w:szCs w:val="14"/>
          <w:color w:val="231F20"/>
        </w:rPr>
        <w:t>Ł à··Łò</w:t>
      </w:r>
      <w:r>
        <w:rPr>
          <w:rFonts w:ascii="PMingLiU" w:cs="PMingLiU" w:eastAsia="PMingLiU" w:hAnsi="PMingLiU"/>
          <w:sz w:val="14"/>
          <w:szCs w:val="14"/>
          <w:color w:val="231F20"/>
        </w:rPr>
        <w:t></w:t>
      </w:r>
      <w:r>
        <w:rPr>
          <w:rFonts w:ascii="Arial" w:cs="Arial" w:eastAsia="Arial" w:hAnsi="Arial"/>
          <w:sz w:val="14"/>
          <w:szCs w:val="14"/>
          <w:color w:val="231F20"/>
        </w:rPr>
        <w:t>~ÒŁĤĢĤħŅŁì</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Ä¾ÖÄ·§</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¾à</w:t>
      </w:r>
      <w:r>
        <w:rPr>
          <w:rFonts w:ascii="PMingLiU" w:cs="PMingLiU" w:eastAsia="PMingLiU" w:hAnsi="PMingLiU"/>
          <w:sz w:val="14"/>
          <w:szCs w:val="14"/>
          <w:color w:val="231F20"/>
        </w:rPr>
        <w:t></w:t>
      </w:r>
      <w:r>
        <w:rPr>
          <w:rFonts w:ascii="Arial" w:cs="Arial" w:eastAsia="Arial" w:hAnsi="Arial"/>
          <w:sz w:val="14"/>
          <w:szCs w:val="14"/>
          <w:color w:val="231F20"/>
        </w:rPr>
        <w:t>ÖŁÄ ŁƄģīģńĦŁ½§··§Ä¾ŅŁ</w:t>
      </w:r>
      <w:r>
        <w:rPr>
          <w:rFonts w:ascii="PMingLiU" w:cs="PMingLiU" w:eastAsia="PMingLiU" w:hAnsi="PMingLiU"/>
          <w:sz w:val="14"/>
          <w:szCs w:val="14"/>
          <w:color w:val="231F20"/>
        </w:rPr>
        <w:t></w:t>
      </w:r>
      <w:r>
        <w:rPr>
          <w:rFonts w:ascii="Arial" w:cs="Arial" w:eastAsia="Arial" w:hAnsi="Arial"/>
          <w:sz w:val="14"/>
          <w:szCs w:val="14"/>
          <w:color w:val="231F20"/>
        </w:rPr>
        <w:t>Ä½Ï~Ò</w:t>
      </w:r>
      <w:r>
        <w:rPr>
          <w:rFonts w:ascii="PMingLiU" w:cs="PMingLiU" w:eastAsia="PMingLiU" w:hAnsi="PMingLiU"/>
          <w:sz w:val="14"/>
          <w:szCs w:val="14"/>
          <w:color w:val="231F20"/>
        </w:rPr>
        <w:t></w:t>
      </w:r>
      <w:r>
        <w:rPr>
          <w:rFonts w:ascii="Arial" w:cs="Arial" w:eastAsia="Arial" w:hAnsi="Arial"/>
          <w:sz w:val="14"/>
          <w:szCs w:val="14"/>
          <w:color w:val="231F20"/>
        </w:rPr>
        <w:t>ŁÜÄŁƄģīĪńīŁ½§··§Ä¾Ł§¾ŁĤĢĤĦńŁ$ÒÄÖÖŁÏÒÄĝÜŁÄ Ł ƄħĥńģŁ½§··§Ä¾ŁÒ</w:t>
      </w:r>
      <w:r>
        <w:rPr>
          <w:rFonts w:ascii="PMingLiU" w:cs="PMingLiU" w:eastAsia="PMingLiU" w:hAnsi="PMingLiU"/>
          <w:sz w:val="14"/>
          <w:szCs w:val="14"/>
          <w:color w:val="231F20"/>
        </w:rPr>
        <w:t></w:t>
      </w:r>
      <w:r>
        <w:rPr>
          <w:rFonts w:ascii="Arial" w:cs="Arial" w:eastAsia="Arial" w:hAnsi="Arial"/>
          <w:sz w:val="14"/>
          <w:szCs w:val="14"/>
          <w:color w:val="231F20"/>
        </w:rPr>
        <w:t>ÏÒ</w:t>
      </w:r>
      <w:r>
        <w:rPr>
          <w:rFonts w:ascii="PMingLiU" w:cs="PMingLiU" w:eastAsia="PMingLiU" w:hAnsi="PMingLiU"/>
          <w:sz w:val="14"/>
          <w:szCs w:val="14"/>
          <w:color w:val="231F20"/>
        </w:rPr>
        <w:t></w:t>
      </w:r>
      <w:r>
        <w:rPr>
          <w:rFonts w:ascii="Arial" w:cs="Arial" w:eastAsia="Arial" w:hAnsi="Arial"/>
          <w:sz w:val="14"/>
          <w:szCs w:val="14"/>
          <w:color w:val="231F20"/>
        </w:rPr>
        <w:t>Ö</w:t>
      </w:r>
      <w:r>
        <w:rPr>
          <w:rFonts w:ascii="PMingLiU" w:cs="PMingLiU" w:eastAsia="PMingLiU" w:hAnsi="PMingLiU"/>
          <w:sz w:val="14"/>
          <w:szCs w:val="14"/>
          <w:color w:val="231F20"/>
        </w:rPr>
        <w:t></w:t>
      </w:r>
      <w:r>
        <w:rPr>
          <w:rFonts w:ascii="Arial" w:cs="Arial" w:eastAsia="Arial" w:hAnsi="Arial"/>
          <w:sz w:val="14"/>
          <w:szCs w:val="14"/>
          <w:color w:val="231F20"/>
        </w:rPr>
        <w:t>¾Ü</w:t>
      </w:r>
      <w:r>
        <w:rPr>
          <w:rFonts w:ascii="PMingLiU" w:cs="PMingLiU" w:eastAsia="PMingLiU" w:hAnsi="PMingLiU"/>
          <w:sz w:val="14"/>
          <w:szCs w:val="14"/>
          <w:color w:val="231F20"/>
        </w:rPr>
        <w:t></w:t>
      </w:r>
      <w:r>
        <w:rPr>
          <w:rFonts w:ascii="Arial" w:cs="Arial" w:eastAsia="Arial" w:hAnsi="Arial"/>
          <w:sz w:val="14"/>
          <w:szCs w:val="14"/>
          <w:color w:val="231F20"/>
        </w:rPr>
        <w:t>Ł~Ł¡ÒÄÖÖŁ½~Ò¡§¾ŁÄ ŁĤĩńīƥŁŖŁĞ~ÜŁò</w:t>
      </w:r>
      <w:r>
        <w:rPr>
          <w:rFonts w:ascii="PMingLiU" w:cs="PMingLiU" w:eastAsia="PMingLiU" w:hAnsi="PMingLiU"/>
          <w:sz w:val="14"/>
          <w:szCs w:val="14"/>
          <w:color w:val="231F20"/>
        </w:rPr>
        <w:t></w:t>
      </w:r>
      <w:r>
        <w:rPr>
          <w:rFonts w:ascii="Arial" w:cs="Arial" w:eastAsia="Arial" w:hAnsi="Arial"/>
          <w:sz w:val="14"/>
          <w:szCs w:val="14"/>
          <w:color w:val="231F20"/>
        </w:rPr>
        <w:t>~ÒŕÄë</w:t>
      </w:r>
      <w:r>
        <w:rPr>
          <w:rFonts w:ascii="PMingLiU" w:cs="PMingLiU" w:eastAsia="PMingLiU" w:hAnsi="PMingLiU"/>
          <w:sz w:val="14"/>
          <w:szCs w:val="14"/>
          <w:color w:val="231F20"/>
        </w:rPr>
        <w:t></w:t>
      </w:r>
      <w:r>
        <w:rPr>
          <w:rFonts w:ascii="Arial" w:cs="Arial" w:eastAsia="Arial" w:hAnsi="Arial"/>
          <w:sz w:val="14"/>
          <w:szCs w:val="14"/>
          <w:color w:val="231F20"/>
        </w:rPr>
        <w:t>Òŕò</w:t>
      </w:r>
      <w:r>
        <w:rPr>
          <w:rFonts w:ascii="PMingLiU" w:cs="PMingLiU" w:eastAsia="PMingLiU" w:hAnsi="PMingLiU"/>
          <w:sz w:val="14"/>
          <w:szCs w:val="14"/>
          <w:color w:val="231F20"/>
        </w:rPr>
        <w:t></w:t>
      </w:r>
      <w:r>
        <w:rPr>
          <w:rFonts w:ascii="Arial" w:cs="Arial" w:eastAsia="Arial" w:hAnsi="Arial"/>
          <w:sz w:val="14"/>
          <w:szCs w:val="14"/>
          <w:color w:val="231F20"/>
        </w:rPr>
        <w:t>~ÒŁ~¾</w:t>
      </w:r>
      <w:r>
        <w:rPr>
          <w:rFonts w:ascii="PMingLiU" w:cs="PMingLiU" w:eastAsia="PMingLiU" w:hAnsi="PMingLiU"/>
          <w:sz w:val="14"/>
          <w:szCs w:val="14"/>
          <w:color w:val="231F20"/>
        </w:rPr>
        <w:t></w:t>
      </w:r>
      <w:r>
        <w:rPr>
          <w:rFonts w:ascii="Arial" w:cs="Arial" w:eastAsia="Arial" w:hAnsi="Arial"/>
          <w:sz w:val="14"/>
          <w:szCs w:val="14"/>
          <w:color w:val="231F20"/>
        </w:rPr>
        <w:t>Ł~Ł½</w:t>
      </w:r>
      <w:r>
        <w:rPr>
          <w:rFonts w:ascii="PMingLiU" w:cs="PMingLiU" w:eastAsia="PMingLiU" w:hAnsi="PMingLiU"/>
          <w:sz w:val="14"/>
          <w:szCs w:val="14"/>
          <w:color w:val="231F20"/>
        </w:rPr>
        <w:t></w:t>
      </w:r>
      <w:r>
        <w:rPr>
          <w:rFonts w:ascii="Arial" w:cs="Arial" w:eastAsia="Arial" w:hAnsi="Arial"/>
          <w:sz w:val="14"/>
          <w:szCs w:val="14"/>
          <w:color w:val="231F20"/>
        </w:rPr>
        <w:t>~¾§¾¡ à·Ł~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½</w:t>
      </w:r>
      <w:r>
        <w:rPr>
          <w:rFonts w:ascii="PMingLiU" w:cs="PMingLiU" w:eastAsia="PMingLiU" w:hAnsi="PMingLiU"/>
          <w:sz w:val="14"/>
          <w:szCs w:val="14"/>
          <w:color w:val="231F20"/>
        </w:rPr>
        <w:t></w:t>
      </w:r>
      <w:r>
        <w:rPr>
          <w:rFonts w:ascii="Arial" w:cs="Arial" w:eastAsia="Arial" w:hAnsi="Arial"/>
          <w:sz w:val="14"/>
          <w:szCs w:val="14"/>
          <w:color w:val="231F20"/>
        </w:rPr>
        <w:t>¾ÜŁ¡§ë</w:t>
      </w:r>
      <w:r>
        <w:rPr>
          <w:rFonts w:ascii="PMingLiU" w:cs="PMingLiU" w:eastAsia="PMingLiU" w:hAnsi="PMingLiU"/>
          <w:sz w:val="14"/>
          <w:szCs w:val="14"/>
          <w:color w:val="231F20"/>
        </w:rPr>
        <w:t></w:t>
      </w:r>
      <w:r>
        <w:rPr>
          <w:rFonts w:ascii="Arial" w:cs="Arial" w:eastAsia="Arial" w:hAnsi="Arial"/>
          <w:sz w:val="14"/>
          <w:szCs w:val="14"/>
          <w:color w:val="231F20"/>
        </w:rPr>
        <w:t>¾ŁÜ¥</w:t>
      </w:r>
      <w:r>
        <w:rPr>
          <w:rFonts w:ascii="PMingLiU" w:cs="PMingLiU" w:eastAsia="PMingLiU" w:hAnsi="PMingLiU"/>
          <w:sz w:val="14"/>
          <w:szCs w:val="14"/>
          <w:color w:val="231F20"/>
        </w:rPr>
        <w:t></w:t>
      </w:r>
      <w:r>
        <w:rPr>
          <w:rFonts w:ascii="Arial" w:cs="Arial" w:eastAsia="Arial" w:hAnsi="Arial"/>
          <w:sz w:val="14"/>
          <w:szCs w:val="14"/>
          <w:color w:val="231F20"/>
        </w:rPr>
        <w:t xml:space="preserve">ŁÖ¥§ ÜŁ§¾Ł </w:t>
      </w:r>
      <w:r>
        <w:rPr>
          <w:rFonts w:ascii="Arial" w:cs="Arial" w:eastAsia="Arial" w:hAnsi="Arial"/>
          <w:sz w:val="14"/>
          <w:szCs w:val="14"/>
          <w:color w:val="231F20"/>
        </w:rPr>
        <w:t>business mix and the investments we made throughout the year.</w:t>
      </w:r>
    </w:p>
    <w:p>
      <w:pPr>
        <w:spacing w:after="0" w:line="249" w:lineRule="exact"/>
        <w:rPr>
          <w:sz w:val="20"/>
          <w:szCs w:val="20"/>
          <w:color w:val="auto"/>
        </w:rPr>
      </w:pPr>
    </w:p>
    <w:p>
      <w:pPr>
        <w:jc w:val="both"/>
        <w:ind w:right="420"/>
        <w:spacing w:after="0" w:line="288" w:lineRule="auto"/>
        <w:rPr>
          <w:sz w:val="20"/>
          <w:szCs w:val="20"/>
          <w:color w:val="auto"/>
        </w:rPr>
      </w:pPr>
      <w:r>
        <w:rPr>
          <w:rFonts w:ascii="Arial" w:cs="Arial" w:eastAsia="Arial" w:hAnsi="Arial"/>
          <w:sz w:val="18"/>
          <w:szCs w:val="18"/>
          <w:color w:val="231F20"/>
        </w:rPr>
        <w:t>GAAP net income was $0.6 million, or $0.05 per diluted share, compared to $3.4 million, or $0.28 per diluted share, in 2024. It is important to contextualize this outcome: we incurred $5.0 million in severance and Finance &amp; Accounting transition costs during 2025, compared to $2.1 million in the prior year. These were not unplanned costs; they were deliberate investments in reshaping our organizational model. Our non-GAAP net income, which excludes these one-time items, was $8.6 million, or</w:t>
      </w:r>
    </w:p>
    <w:p>
      <w:pPr>
        <w:sectPr>
          <w:pgSz w:w="11880" w:h="15480" w:orient="portrait"/>
          <w:cols w:equalWidth="0" w:num="1">
            <w:col w:w="10780"/>
          </w:cols>
          <w:pgMar w:left="720" w:top="1440" w:right="380"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10660"/>
        <w:spacing w:after="0"/>
        <w:rPr>
          <w:sz w:val="20"/>
          <w:szCs w:val="20"/>
          <w:color w:val="auto"/>
        </w:rPr>
      </w:pPr>
      <w:r>
        <w:rPr>
          <w:rFonts w:ascii="Arial" w:cs="Arial" w:eastAsia="Arial" w:hAnsi="Arial"/>
          <w:sz w:val="18"/>
          <w:szCs w:val="18"/>
          <w:color w:val="221E1F"/>
        </w:rPr>
        <w:t>4</w:t>
      </w:r>
    </w:p>
    <w:p>
      <w:pPr>
        <w:sectPr>
          <w:pgSz w:w="11880" w:h="15480" w:orient="portrait"/>
          <w:cols w:equalWidth="0" w:num="1">
            <w:col w:w="10780"/>
          </w:cols>
          <w:pgMar w:left="720" w:top="1440" w:right="380" w:bottom="0" w:gutter="0" w:footer="0" w:header="0"/>
          <w:type w:val="continuous"/>
        </w:sectPr>
      </w:pPr>
    </w:p>
    <w:bookmarkStart w:id="6" w:name="page7"/>
    <w:bookmarkEnd w:id="6"/>
    <w:p>
      <w:pPr>
        <w:ind w:right="1180"/>
        <w:spacing w:after="0" w:line="236" w:lineRule="exact"/>
        <w:rPr>
          <w:sz w:val="20"/>
          <w:szCs w:val="20"/>
          <w:color w:val="auto"/>
        </w:rPr>
      </w:pPr>
      <w:r>
        <w:rPr>
          <w:rFonts w:ascii="Arial" w:cs="Arial" w:eastAsia="Arial" w:hAnsi="Arial"/>
          <w:sz w:val="14"/>
          <w:szCs w:val="14"/>
          <w:color w:val="231F20"/>
        </w:rPr>
        <w:drawing>
          <wp:anchor simplePos="0" relativeHeight="251657728" behindDoc="1" locked="0" layoutInCell="0" allowOverlap="1">
            <wp:simplePos x="0" y="0"/>
            <wp:positionH relativeFrom="page">
              <wp:posOffset>5880735</wp:posOffset>
            </wp:positionH>
            <wp:positionV relativeFrom="page">
              <wp:posOffset>231140</wp:posOffset>
            </wp:positionV>
            <wp:extent cx="1209675"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9675" cy="300355"/>
                    </a:xfrm>
                    <a:prstGeom prst="rect">
                      <a:avLst/>
                    </a:prstGeom>
                    <a:noFill/>
                  </pic:spPr>
                </pic:pic>
              </a:graphicData>
            </a:graphic>
          </wp:anchor>
        </w:drawing>
        <w:t>ƄĢńĩĤŁÏ</w:t>
      </w:r>
      <w:r>
        <w:rPr>
          <w:rFonts w:ascii="PMingLiU" w:cs="PMingLiU" w:eastAsia="PMingLiU" w:hAnsi="PMingLiU"/>
          <w:sz w:val="14"/>
          <w:szCs w:val="14"/>
          <w:color w:val="231F20"/>
        </w:rPr>
        <w:t></w:t>
      </w:r>
      <w:r>
        <w:rPr>
          <w:rFonts w:ascii="Arial" w:cs="Arial" w:eastAsia="Arial" w:hAnsi="Arial"/>
          <w:sz w:val="14"/>
          <w:szCs w:val="14"/>
          <w:color w:val="231F20"/>
        </w:rPr>
        <w:t>ÒŁ</w:t>
      </w:r>
      <w:r>
        <w:rPr>
          <w:rFonts w:ascii="PMingLiU" w:cs="PMingLiU" w:eastAsia="PMingLiU" w:hAnsi="PMingLiU"/>
          <w:sz w:val="14"/>
          <w:szCs w:val="14"/>
          <w:color w:val="231F20"/>
        </w:rPr>
        <w:t></w:t>
      </w:r>
      <w:r>
        <w:rPr>
          <w:rFonts w:ascii="Arial" w:cs="Arial" w:eastAsia="Arial" w:hAnsi="Arial"/>
          <w:sz w:val="14"/>
          <w:szCs w:val="14"/>
          <w:color w:val="231F20"/>
        </w:rPr>
        <w:t>§·àÜ</w:t>
      </w:r>
      <w:r>
        <w:rPr>
          <w:rFonts w:ascii="PMingLiU" w:cs="PMingLiU" w:eastAsia="PMingLiU" w:hAnsi="PMingLiU"/>
          <w:sz w:val="14"/>
          <w:szCs w:val="14"/>
          <w:color w:val="231F20"/>
        </w:rPr>
        <w:t></w:t>
      </w:r>
      <w:r>
        <w:rPr>
          <w:rFonts w:ascii="Arial" w:cs="Arial" w:eastAsia="Arial" w:hAnsi="Arial"/>
          <w:sz w:val="14"/>
          <w:szCs w:val="14"/>
          <w:color w:val="231F20"/>
        </w:rPr>
        <w:t>ŁÖ¥~Ò</w:t>
      </w:r>
      <w:r>
        <w:rPr>
          <w:rFonts w:ascii="PMingLiU" w:cs="PMingLiU" w:eastAsia="PMingLiU" w:hAnsi="PMingLiU"/>
          <w:sz w:val="14"/>
          <w:szCs w:val="14"/>
          <w:color w:val="231F20"/>
        </w:rPr>
        <w:t></w:t>
      </w:r>
      <w:r>
        <w:rPr>
          <w:rFonts w:ascii="Arial" w:cs="Arial" w:eastAsia="Arial" w:hAnsi="Arial"/>
          <w:sz w:val="14"/>
          <w:szCs w:val="14"/>
          <w:color w:val="231F20"/>
        </w:rPr>
        <w:t>ŅŁ</w:t>
      </w:r>
      <w:r>
        <w:rPr>
          <w:rFonts w:ascii="PMingLiU" w:cs="PMingLiU" w:eastAsia="PMingLiU" w:hAnsi="PMingLiU"/>
          <w:sz w:val="14"/>
          <w:szCs w:val="14"/>
          <w:color w:val="231F20"/>
        </w:rPr>
        <w:t> </w:t>
      </w:r>
      <w:r>
        <w:rPr>
          <w:rFonts w:ascii="Arial" w:cs="Arial" w:eastAsia="Arial" w:hAnsi="Arial"/>
          <w:sz w:val="14"/>
          <w:szCs w:val="14"/>
          <w:color w:val="231F20"/>
        </w:rPr>
        <w:t>Ü§ë</w:t>
      </w:r>
      <w:r>
        <w:rPr>
          <w:rFonts w:ascii="PMingLiU" w:cs="PMingLiU" w:eastAsia="PMingLiU" w:hAnsi="PMingLiU"/>
          <w:sz w:val="14"/>
          <w:szCs w:val="14"/>
          <w:color w:val="231F20"/>
        </w:rPr>
        <w:t></w:t>
      </w:r>
      <w:r>
        <w:rPr>
          <w:rFonts w:ascii="Arial" w:cs="Arial" w:eastAsia="Arial" w:hAnsi="Arial"/>
          <w:sz w:val="14"/>
          <w:szCs w:val="14"/>
          <w:color w:val="231F20"/>
        </w:rPr>
        <w:t>·òŁĞ~ÜŁì§Ü¥ŁÜ¥</w:t>
      </w:r>
      <w:r>
        <w:rPr>
          <w:rFonts w:ascii="PMingLiU" w:cs="PMingLiU" w:eastAsia="PMingLiU" w:hAnsi="PMingLiU"/>
          <w:sz w:val="14"/>
          <w:szCs w:val="14"/>
          <w:color w:val="231F20"/>
        </w:rPr>
        <w:t></w:t>
      </w:r>
      <w:r>
        <w:rPr>
          <w:rFonts w:ascii="Arial" w:cs="Arial" w:eastAsia="Arial" w:hAnsi="Arial"/>
          <w:sz w:val="14"/>
          <w:szCs w:val="14"/>
          <w:color w:val="231F20"/>
        </w:rPr>
        <w:t>ŁÏÒ§ÄÒŁò</w:t>
      </w:r>
      <w:r>
        <w:rPr>
          <w:rFonts w:ascii="PMingLiU" w:cs="PMingLiU" w:eastAsia="PMingLiU" w:hAnsi="PMingLiU"/>
          <w:sz w:val="14"/>
          <w:szCs w:val="14"/>
          <w:color w:val="231F20"/>
        </w:rPr>
        <w:t></w:t>
      </w:r>
      <w:r>
        <w:rPr>
          <w:rFonts w:ascii="Arial" w:cs="Arial" w:eastAsia="Arial" w:hAnsi="Arial"/>
          <w:sz w:val="14"/>
          <w:szCs w:val="14"/>
          <w:color w:val="231F20"/>
        </w:rPr>
        <w:t>~ÒŁ~ÜŁƄĪńĨŁ½§··§Ä¾ŅŁÄÒŁƄĢńĩģŁÏ</w:t>
      </w:r>
      <w:r>
        <w:rPr>
          <w:rFonts w:ascii="PMingLiU" w:cs="PMingLiU" w:eastAsia="PMingLiU" w:hAnsi="PMingLiU"/>
          <w:sz w:val="14"/>
          <w:szCs w:val="14"/>
          <w:color w:val="231F20"/>
        </w:rPr>
        <w:t></w:t>
      </w:r>
      <w:r>
        <w:rPr>
          <w:rFonts w:ascii="Arial" w:cs="Arial" w:eastAsia="Arial" w:hAnsi="Arial"/>
          <w:sz w:val="14"/>
          <w:szCs w:val="14"/>
          <w:color w:val="231F20"/>
        </w:rPr>
        <w:t>ÒŁ</w:t>
      </w:r>
      <w:r>
        <w:rPr>
          <w:rFonts w:ascii="PMingLiU" w:cs="PMingLiU" w:eastAsia="PMingLiU" w:hAnsi="PMingLiU"/>
          <w:sz w:val="14"/>
          <w:szCs w:val="14"/>
          <w:color w:val="231F20"/>
        </w:rPr>
        <w:t></w:t>
      </w:r>
      <w:r>
        <w:rPr>
          <w:rFonts w:ascii="Arial" w:cs="Arial" w:eastAsia="Arial" w:hAnsi="Arial"/>
          <w:sz w:val="14"/>
          <w:szCs w:val="14"/>
          <w:color w:val="231F20"/>
        </w:rPr>
        <w:t>§·àÜ</w:t>
      </w:r>
      <w:r>
        <w:rPr>
          <w:rFonts w:ascii="PMingLiU" w:cs="PMingLiU" w:eastAsia="PMingLiU" w:hAnsi="PMingLiU"/>
          <w:sz w:val="14"/>
          <w:szCs w:val="14"/>
          <w:color w:val="231F20"/>
        </w:rPr>
        <w:t></w:t>
      </w:r>
      <w:r>
        <w:rPr>
          <w:rFonts w:ascii="Arial" w:cs="Arial" w:eastAsia="Arial" w:hAnsi="Arial"/>
          <w:sz w:val="14"/>
          <w:szCs w:val="14"/>
          <w:color w:val="231F20"/>
        </w:rPr>
        <w:t>ŁÖ¥~Ò</w:t>
      </w:r>
      <w:r>
        <w:rPr>
          <w:rFonts w:ascii="PMingLiU" w:cs="PMingLiU" w:eastAsia="PMingLiU" w:hAnsi="PMingLiU"/>
          <w:sz w:val="14"/>
          <w:szCs w:val="14"/>
          <w:color w:val="231F20"/>
        </w:rPr>
        <w:t></w:t>
      </w:r>
      <w:r>
        <w:rPr>
          <w:rFonts w:ascii="Arial" w:cs="Arial" w:eastAsia="Arial" w:hAnsi="Arial"/>
          <w:sz w:val="14"/>
          <w:szCs w:val="14"/>
          <w:color w:val="231F20"/>
        </w:rPr>
        <w:t>ńŁ]¥§ÖŁÒ</w:t>
      </w:r>
      <w:r>
        <w:rPr>
          <w:rFonts w:ascii="PMingLiU" w:cs="PMingLiU" w:eastAsia="PMingLiU" w:hAnsi="PMingLiU"/>
          <w:sz w:val="14"/>
          <w:szCs w:val="14"/>
          <w:color w:val="231F20"/>
        </w:rPr>
        <w:t></w:t>
      </w:r>
      <w:r>
        <w:rPr>
          <w:rFonts w:ascii="Arial" w:cs="Arial" w:eastAsia="Arial" w:hAnsi="Arial"/>
          <w:sz w:val="14"/>
          <w:szCs w:val="14"/>
          <w:color w:val="231F20"/>
        </w:rPr>
        <w:t>Ğ</w:t>
      </w:r>
      <w:r>
        <w:rPr>
          <w:rFonts w:ascii="PMingLiU" w:cs="PMingLiU" w:eastAsia="PMingLiU" w:hAnsi="PMingLiU"/>
          <w:sz w:val="14"/>
          <w:szCs w:val="14"/>
          <w:color w:val="231F20"/>
        </w:rPr>
        <w:t></w:t>
      </w:r>
      <w:r>
        <w:rPr>
          <w:rFonts w:ascii="Arial" w:cs="Arial" w:eastAsia="Arial" w:hAnsi="Arial"/>
          <w:sz w:val="14"/>
          <w:szCs w:val="14"/>
          <w:color w:val="231F20"/>
        </w:rPr>
        <w:t>ÜÖŁÜ¥</w:t>
      </w:r>
      <w:r>
        <w:rPr>
          <w:rFonts w:ascii="PMingLiU" w:cs="PMingLiU" w:eastAsia="PMingLiU" w:hAnsi="PMingLiU"/>
          <w:sz w:val="14"/>
          <w:szCs w:val="14"/>
          <w:color w:val="231F20"/>
        </w:rPr>
        <w:t></w:t>
      </w:r>
      <w:r>
        <w:rPr>
          <w:rFonts w:ascii="Arial" w:cs="Arial" w:eastAsia="Arial" w:hAnsi="Arial"/>
          <w:sz w:val="14"/>
          <w:szCs w:val="14"/>
          <w:color w:val="231F20"/>
        </w:rPr>
        <w:t xml:space="preserve">Ł </w:t>
      </w:r>
      <w:r>
        <w:rPr>
          <w:rFonts w:ascii="Arial" w:cs="Arial" w:eastAsia="Arial" w:hAnsi="Arial"/>
          <w:sz w:val="14"/>
          <w:szCs w:val="14"/>
          <w:color w:val="231F20"/>
        </w:rPr>
        <w:t>underlying resilience of our business.</w:t>
      </w:r>
    </w:p>
    <w:p>
      <w:pPr>
        <w:spacing w:after="0" w:line="249" w:lineRule="exact"/>
        <w:rPr>
          <w:sz w:val="20"/>
          <w:szCs w:val="20"/>
          <w:color w:val="auto"/>
        </w:rPr>
      </w:pPr>
    </w:p>
    <w:p>
      <w:pPr>
        <w:ind w:right="440"/>
        <w:spacing w:after="0" w:line="237" w:lineRule="exact"/>
        <w:rPr>
          <w:sz w:val="20"/>
          <w:szCs w:val="20"/>
          <w:color w:val="auto"/>
        </w:rPr>
      </w:pPr>
      <w:r>
        <w:rPr>
          <w:rFonts w:ascii="Arial" w:cs="Arial" w:eastAsia="Arial" w:hAnsi="Arial"/>
          <w:sz w:val="14"/>
          <w:szCs w:val="14"/>
          <w:color w:val="231F20"/>
        </w:rPr>
        <w:t>EàÒŁ</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ŁÖ¥</w:t>
      </w:r>
      <w:r>
        <w:rPr>
          <w:rFonts w:ascii="PMingLiU" w:cs="PMingLiU" w:eastAsia="PMingLiU" w:hAnsi="PMingLiU"/>
          <w:sz w:val="14"/>
          <w:szCs w:val="14"/>
          <w:color w:val="231F20"/>
        </w:rPr>
        <w:t></w:t>
      </w:r>
      <w:r>
        <w:rPr>
          <w:rFonts w:ascii="Arial" w:cs="Arial" w:eastAsia="Arial" w:hAnsi="Arial"/>
          <w:sz w:val="14"/>
          <w:szCs w:val="14"/>
          <w:color w:val="231F20"/>
        </w:rPr>
        <w:t>ÜŁÒ</w:t>
      </w:r>
      <w:r>
        <w:rPr>
          <w:rFonts w:ascii="PMingLiU" w:cs="PMingLiU" w:eastAsia="PMingLiU" w:hAnsi="PMingLiU"/>
          <w:sz w:val="14"/>
          <w:szCs w:val="14"/>
          <w:color w:val="231F20"/>
        </w:rPr>
        <w:t></w:t>
      </w:r>
      <w:r>
        <w:rPr>
          <w:rFonts w:ascii="Arial" w:cs="Arial" w:eastAsia="Arial" w:hAnsi="Arial"/>
          <w:sz w:val="14"/>
          <w:szCs w:val="14"/>
          <w:color w:val="231F20"/>
        </w:rPr>
        <w:t>½~§¾</w:t>
      </w:r>
      <w:r>
        <w:rPr>
          <w:rFonts w:ascii="PMingLiU" w:cs="PMingLiU" w:eastAsia="PMingLiU" w:hAnsi="PMingLiU"/>
          <w:sz w:val="14"/>
          <w:szCs w:val="14"/>
          <w:color w:val="231F20"/>
        </w:rPr>
        <w:t></w:t>
      </w:r>
      <w:r>
        <w:rPr>
          <w:rFonts w:ascii="Arial" w:cs="Arial" w:eastAsia="Arial" w:hAnsi="Arial"/>
          <w:sz w:val="14"/>
          <w:szCs w:val="14"/>
          <w:color w:val="231F20"/>
        </w:rPr>
        <w:t>Ł~ŁÖÄàÒ</w:t>
      </w:r>
      <w:r>
        <w:rPr>
          <w:rFonts w:ascii="PMingLiU" w:cs="PMingLiU" w:eastAsia="PMingLiU" w:hAnsi="PMingLiU"/>
          <w:sz w:val="14"/>
          <w:szCs w:val="14"/>
          <w:color w:val="231F20"/>
        </w:rPr>
        <w:t></w:t>
      </w:r>
      <w:r>
        <w:rPr>
          <w:rFonts w:ascii="Arial" w:cs="Arial" w:eastAsia="Arial" w:hAnsi="Arial"/>
          <w:sz w:val="14"/>
          <w:szCs w:val="14"/>
          <w:color w:val="231F20"/>
        </w:rPr>
        <w:t>ŁÄ ŁÖÜÒ</w:t>
      </w:r>
      <w:r>
        <w:rPr>
          <w:rFonts w:ascii="PMingLiU" w:cs="PMingLiU" w:eastAsia="PMingLiU" w:hAnsi="PMingLiU"/>
          <w:sz w:val="14"/>
          <w:szCs w:val="14"/>
          <w:color w:val="231F20"/>
        </w:rPr>
        <w:t></w:t>
      </w:r>
      <w:r>
        <w:rPr>
          <w:rFonts w:ascii="Arial" w:cs="Arial" w:eastAsia="Arial" w:hAnsi="Arial"/>
          <w:sz w:val="14"/>
          <w:szCs w:val="14"/>
          <w:color w:val="231F20"/>
        </w:rPr>
        <w:t>¾¡Ü¥ńŁm</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·ÄÖ</w:t>
      </w:r>
      <w:r>
        <w:rPr>
          <w:rFonts w:ascii="PMingLiU" w:cs="PMingLiU" w:eastAsia="PMingLiU" w:hAnsi="PMingLiU"/>
          <w:sz w:val="14"/>
          <w:szCs w:val="14"/>
          <w:color w:val="231F20"/>
        </w:rPr>
        <w:t></w:t>
      </w:r>
      <w:r>
        <w:rPr>
          <w:rFonts w:ascii="Arial" w:cs="Arial" w:eastAsia="Arial" w:hAnsi="Arial"/>
          <w:sz w:val="14"/>
          <w:szCs w:val="14"/>
          <w:color w:val="231F20"/>
        </w:rPr>
        <w:t>ŁĤĢĤħŁì§Ü¥ŁƄĥĨńħŁ½§··§Ä¾Ł§¾Ł</w:t>
      </w:r>
      <w:r>
        <w:rPr>
          <w:rFonts w:ascii="PMingLiU" w:cs="PMingLiU" w:eastAsia="PMingLiU" w:hAnsi="PMingLiU"/>
          <w:sz w:val="14"/>
          <w:szCs w:val="14"/>
          <w:color w:val="231F20"/>
        </w:rPr>
        <w:t></w:t>
      </w:r>
      <w:r>
        <w:rPr>
          <w:rFonts w:ascii="Arial" w:cs="Arial" w:eastAsia="Arial" w:hAnsi="Arial"/>
          <w:sz w:val="14"/>
          <w:szCs w:val="14"/>
          <w:color w:val="231F20"/>
        </w:rPr>
        <w:t>~Ö¥ŅŁ¾ÄŁ</w:t>
      </w:r>
      <w:r>
        <w:rPr>
          <w:rFonts w:ascii="PMingLiU" w:cs="PMingLiU" w:eastAsia="PMingLiU" w:hAnsi="PMingLiU"/>
          <w:sz w:val="14"/>
          <w:szCs w:val="14"/>
          <w:color w:val="231F20"/>
        </w:rPr>
        <w:t></w:t>
      </w:r>
      <w:r>
        <w:rPr>
          <w:rFonts w:ascii="Arial" w:cs="Arial" w:eastAsia="Arial" w:hAnsi="Arial"/>
          <w:sz w:val="14"/>
          <w:szCs w:val="14"/>
          <w:color w:val="231F20"/>
        </w:rPr>
        <w:t>~¾µŁ</w:t>
      </w:r>
      <w:r>
        <w:rPr>
          <w:rFonts w:ascii="PMingLiU" w:cs="PMingLiU" w:eastAsia="PMingLiU" w:hAnsi="PMingLiU"/>
          <w:sz w:val="14"/>
          <w:szCs w:val="14"/>
          <w:color w:val="231F20"/>
        </w:rPr>
        <w:t></w:t>
      </w:r>
      <w:r>
        <w:rPr>
          <w:rFonts w:ascii="Arial" w:cs="Arial" w:eastAsia="Arial" w:hAnsi="Arial"/>
          <w:sz w:val="14"/>
          <w:szCs w:val="14"/>
          <w:color w:val="231F20"/>
        </w:rPr>
        <w:t>ÜŁÄàÜÖÜ~¾</w:t>
      </w:r>
      <w:r>
        <w:rPr>
          <w:rFonts w:ascii="PMingLiU" w:cs="PMingLiU" w:eastAsia="PMingLiU" w:hAnsi="PMingLiU"/>
          <w:sz w:val="14"/>
          <w:szCs w:val="14"/>
          <w:color w:val="231F20"/>
        </w:rPr>
        <w:t></w:t>
      </w:r>
      <w:r>
        <w:rPr>
          <w:rFonts w:ascii="Arial" w:cs="Arial" w:eastAsia="Arial" w:hAnsi="Arial"/>
          <w:sz w:val="14"/>
          <w:szCs w:val="14"/>
          <w:color w:val="231F20"/>
        </w:rPr>
        <w:t>§¾¡ŅŁ~¾</w:t>
      </w:r>
      <w:r>
        <w:rPr>
          <w:rFonts w:ascii="PMingLiU" w:cs="PMingLiU" w:eastAsia="PMingLiU" w:hAnsi="PMingLiU"/>
          <w:sz w:val="14"/>
          <w:szCs w:val="14"/>
          <w:color w:val="231F20"/>
        </w:rPr>
        <w:t></w:t>
      </w:r>
      <w:r>
        <w:rPr>
          <w:rFonts w:ascii="Arial" w:cs="Arial" w:eastAsia="Arial" w:hAnsi="Arial"/>
          <w:sz w:val="14"/>
          <w:szCs w:val="14"/>
          <w:color w:val="231F20"/>
        </w:rPr>
        <w:t>Ł ƄģīńīŁ½§··§Ä¾Ł§¾Ł~ë~§·~</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Ł·§Ñà§</w:t>
      </w:r>
      <w:r>
        <w:rPr>
          <w:rFonts w:ascii="PMingLiU" w:cs="PMingLiU" w:eastAsia="PMingLiU" w:hAnsi="PMingLiU"/>
          <w:sz w:val="14"/>
          <w:szCs w:val="14"/>
          <w:color w:val="231F20"/>
        </w:rPr>
        <w:t></w:t>
      </w:r>
      <w:r>
        <w:rPr>
          <w:rFonts w:ascii="Arial" w:cs="Arial" w:eastAsia="Arial" w:hAnsi="Arial"/>
          <w:sz w:val="14"/>
          <w:szCs w:val="14"/>
          <w:color w:val="231F20"/>
        </w:rPr>
        <w:t>§ÜòŁà¾</w:t>
      </w:r>
      <w:r>
        <w:rPr>
          <w:rFonts w:ascii="PMingLiU" w:cs="PMingLiU" w:eastAsia="PMingLiU" w:hAnsi="PMingLiU"/>
          <w:sz w:val="14"/>
          <w:szCs w:val="14"/>
          <w:color w:val="231F20"/>
        </w:rPr>
        <w:t></w:t>
      </w:r>
      <w:r>
        <w:rPr>
          <w:rFonts w:ascii="Arial" w:cs="Arial" w:eastAsia="Arial" w:hAnsi="Arial"/>
          <w:sz w:val="14"/>
          <w:szCs w:val="14"/>
          <w:color w:val="231F20"/>
        </w:rPr>
        <w:t>ÒŁÄàÒŁÒ</w:t>
      </w:r>
      <w:r>
        <w:rPr>
          <w:rFonts w:ascii="PMingLiU" w:cs="PMingLiU" w:eastAsia="PMingLiU" w:hAnsi="PMingLiU"/>
          <w:sz w:val="14"/>
          <w:szCs w:val="14"/>
          <w:color w:val="231F20"/>
        </w:rPr>
        <w:t></w:t>
      </w:r>
      <w:r>
        <w:rPr>
          <w:rFonts w:ascii="Arial" w:cs="Arial" w:eastAsia="Arial" w:hAnsi="Arial"/>
          <w:sz w:val="14"/>
          <w:szCs w:val="14"/>
          <w:color w:val="231F20"/>
        </w:rPr>
        <w:t>ëÄ·ë§¾¡Ł</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§ÜŁ ~</w:t>
      </w:r>
      <w:r>
        <w:rPr>
          <w:rFonts w:ascii="PMingLiU" w:cs="PMingLiU" w:eastAsia="PMingLiU" w:hAnsi="PMingLiU"/>
          <w:sz w:val="14"/>
          <w:szCs w:val="14"/>
          <w:color w:val="231F20"/>
        </w:rPr>
        <w:t></w:t>
      </w:r>
      <w:r>
        <w:rPr>
          <w:rFonts w:ascii="Arial" w:cs="Arial" w:eastAsia="Arial" w:hAnsi="Arial"/>
          <w:sz w:val="14"/>
          <w:szCs w:val="14"/>
          <w:color w:val="231F20"/>
        </w:rPr>
        <w:t>§·§ÜòŁŖŁÏÒÄë§</w:t>
      </w:r>
      <w:r>
        <w:rPr>
          <w:rFonts w:ascii="PMingLiU" w:cs="PMingLiU" w:eastAsia="PMingLiU" w:hAnsi="PMingLiU"/>
          <w:sz w:val="14"/>
          <w:szCs w:val="14"/>
          <w:color w:val="231F20"/>
        </w:rPr>
        <w:t></w:t>
      </w:r>
      <w:r>
        <w:rPr>
          <w:rFonts w:ascii="Arial" w:cs="Arial" w:eastAsia="Arial" w:hAnsi="Arial"/>
          <w:sz w:val="14"/>
          <w:szCs w:val="14"/>
          <w:color w:val="231F20"/>
        </w:rPr>
        <w:t>§¾¡ŁàÖŁì§Ü¥ŁÜ¥</w:t>
      </w:r>
      <w:r>
        <w:rPr>
          <w:rFonts w:ascii="PMingLiU" w:cs="PMingLiU" w:eastAsia="PMingLiU" w:hAnsi="PMingLiU"/>
          <w:sz w:val="14"/>
          <w:szCs w:val="14"/>
          <w:color w:val="231F20"/>
        </w:rPr>
        <w:t></w:t>
      </w:r>
      <w:r>
        <w:rPr>
          <w:rFonts w:ascii="Arial" w:cs="Arial" w:eastAsia="Arial" w:hAnsi="Arial"/>
          <w:sz w:val="14"/>
          <w:szCs w:val="14"/>
          <w:color w:val="231F20"/>
        </w:rPr>
        <w:t>Łĝ¾~¾</w:t>
      </w:r>
      <w:r>
        <w:rPr>
          <w:rFonts w:ascii="PMingLiU" w:cs="PMingLiU" w:eastAsia="PMingLiU" w:hAnsi="PMingLiU"/>
          <w:sz w:val="14"/>
          <w:szCs w:val="14"/>
          <w:color w:val="231F20"/>
        </w:rPr>
        <w:t></w:t>
      </w:r>
      <w:r>
        <w:rPr>
          <w:rFonts w:ascii="Arial" w:cs="Arial" w:eastAsia="Arial" w:hAnsi="Arial"/>
          <w:sz w:val="14"/>
          <w:szCs w:val="14"/>
          <w:color w:val="231F20"/>
        </w:rPr>
        <w:t>§~·ŁĞ</w:t>
      </w:r>
      <w:r>
        <w:rPr>
          <w:rFonts w:ascii="PMingLiU" w:cs="PMingLiU" w:eastAsia="PMingLiU" w:hAnsi="PMingLiU"/>
          <w:sz w:val="14"/>
          <w:szCs w:val="14"/>
          <w:color w:val="231F20"/>
        </w:rPr>
        <w:t></w:t>
      </w:r>
      <w:r>
        <w:rPr>
          <w:rFonts w:ascii="Arial" w:cs="Arial" w:eastAsia="Arial" w:hAnsi="Arial"/>
          <w:sz w:val="14"/>
          <w:szCs w:val="14"/>
          <w:color w:val="231F20"/>
        </w:rPr>
        <w:t>ñ§</w:t>
      </w:r>
      <w:r>
        <w:rPr>
          <w:rFonts w:ascii="PMingLiU" w:cs="PMingLiU" w:eastAsia="PMingLiU" w:hAnsi="PMingLiU"/>
          <w:sz w:val="14"/>
          <w:szCs w:val="14"/>
          <w:color w:val="231F20"/>
        </w:rPr>
        <w:t></w:t>
      </w:r>
      <w:r>
        <w:rPr>
          <w:rFonts w:ascii="Arial" w:cs="Arial" w:eastAsia="Arial" w:hAnsi="Arial"/>
          <w:sz w:val="14"/>
          <w:szCs w:val="14"/>
          <w:color w:val="231F20"/>
        </w:rPr>
        <w:t>§·§ÜòŁÜÄŁ§¾ë</w:t>
      </w:r>
      <w:r>
        <w:rPr>
          <w:rFonts w:ascii="PMingLiU" w:cs="PMingLiU" w:eastAsia="PMingLiU" w:hAnsi="PMingLiU"/>
          <w:sz w:val="14"/>
          <w:szCs w:val="14"/>
          <w:color w:val="231F20"/>
        </w:rPr>
        <w:t></w:t>
      </w:r>
      <w:r>
        <w:rPr>
          <w:rFonts w:ascii="Arial" w:cs="Arial" w:eastAsia="Arial" w:hAnsi="Arial"/>
          <w:sz w:val="14"/>
          <w:szCs w:val="14"/>
          <w:color w:val="231F20"/>
        </w:rPr>
        <w:t xml:space="preserve">ÖÜŁ§¾Ł </w:t>
      </w:r>
      <w:r>
        <w:rPr>
          <w:rFonts w:ascii="Arial" w:cs="Arial" w:eastAsia="Arial" w:hAnsi="Arial"/>
          <w:sz w:val="14"/>
          <w:szCs w:val="14"/>
          <w:color w:val="231F20"/>
        </w:rPr>
        <w:t>strategic priorities while returning capital to shareholders.</w:t>
      </w:r>
    </w:p>
    <w:p>
      <w:pPr>
        <w:spacing w:after="0" w:line="249" w:lineRule="exact"/>
        <w:rPr>
          <w:sz w:val="20"/>
          <w:szCs w:val="20"/>
          <w:color w:val="auto"/>
        </w:rPr>
      </w:pPr>
    </w:p>
    <w:p>
      <w:pPr>
        <w:ind w:right="420"/>
        <w:spacing w:after="0" w:line="238" w:lineRule="exact"/>
        <w:rPr>
          <w:sz w:val="20"/>
          <w:szCs w:val="20"/>
          <w:color w:val="auto"/>
        </w:rPr>
      </w:pPr>
      <w:r>
        <w:rPr>
          <w:rFonts w:ascii="Arial" w:cs="Arial" w:eastAsia="Arial" w:hAnsi="Arial"/>
          <w:sz w:val="17"/>
          <w:szCs w:val="17"/>
          <w:color w:val="231F20"/>
        </w:rPr>
        <w:t xml:space="preserve">During 2025, we repurchased approximately $2.2 million worth of Mastech common stock under our share repurchase program, at an average price of $7.49 per share. In February 2026, our Board of Directors authorized a new $5.0 million share </w:t>
      </w:r>
      <w:r>
        <w:rPr>
          <w:rFonts w:ascii="Arial" w:cs="Arial" w:eastAsia="Arial" w:hAnsi="Arial"/>
          <w:sz w:val="17"/>
          <w:szCs w:val="17"/>
          <w:color w:val="231F20"/>
        </w:rPr>
        <w:t>Ò</w:t>
      </w:r>
      <w:r>
        <w:rPr>
          <w:rFonts w:ascii="PMingLiU" w:cs="PMingLiU" w:eastAsia="PMingLiU" w:hAnsi="PMingLiU"/>
          <w:sz w:val="17"/>
          <w:szCs w:val="17"/>
          <w:color w:val="231F20"/>
        </w:rPr>
        <w:t></w:t>
      </w:r>
      <w:r>
        <w:rPr>
          <w:rFonts w:ascii="Arial" w:cs="Arial" w:eastAsia="Arial" w:hAnsi="Arial"/>
          <w:sz w:val="17"/>
          <w:szCs w:val="17"/>
          <w:color w:val="231F20"/>
        </w:rPr>
        <w:t>ÏàÒ</w:t>
      </w:r>
      <w:r>
        <w:rPr>
          <w:rFonts w:ascii="PMingLiU" w:cs="PMingLiU" w:eastAsia="PMingLiU" w:hAnsi="PMingLiU"/>
          <w:sz w:val="17"/>
          <w:szCs w:val="17"/>
          <w:color w:val="231F20"/>
        </w:rPr>
        <w:t></w:t>
      </w:r>
      <w:r>
        <w:rPr>
          <w:rFonts w:ascii="Arial" w:cs="Arial" w:eastAsia="Arial" w:hAnsi="Arial"/>
          <w:sz w:val="17"/>
          <w:szCs w:val="17"/>
          <w:color w:val="231F20"/>
        </w:rPr>
        <w:t>¥~Ö</w:t>
      </w:r>
      <w:r>
        <w:rPr>
          <w:rFonts w:ascii="PMingLiU" w:cs="PMingLiU" w:eastAsia="PMingLiU" w:hAnsi="PMingLiU"/>
          <w:sz w:val="17"/>
          <w:szCs w:val="17"/>
          <w:color w:val="231F20"/>
        </w:rPr>
        <w:t></w:t>
      </w:r>
      <w:r>
        <w:rPr>
          <w:rFonts w:ascii="Arial" w:cs="Arial" w:eastAsia="Arial" w:hAnsi="Arial"/>
          <w:sz w:val="17"/>
          <w:szCs w:val="17"/>
          <w:color w:val="231F20"/>
        </w:rPr>
        <w:t>ŁÏÒÄ¡Ò~½ŅŁì¥§</w:t>
      </w:r>
      <w:r>
        <w:rPr>
          <w:rFonts w:ascii="PMingLiU" w:cs="PMingLiU" w:eastAsia="PMingLiU" w:hAnsi="PMingLiU"/>
          <w:sz w:val="17"/>
          <w:szCs w:val="17"/>
          <w:color w:val="231F20"/>
        </w:rPr>
        <w:t></w:t>
      </w:r>
      <w:r>
        <w:rPr>
          <w:rFonts w:ascii="Arial" w:cs="Arial" w:eastAsia="Arial" w:hAnsi="Arial"/>
          <w:sz w:val="17"/>
          <w:szCs w:val="17"/>
          <w:color w:val="231F20"/>
        </w:rPr>
        <w:t>¥Łì</w:t>
      </w:r>
      <w:r>
        <w:rPr>
          <w:rFonts w:ascii="PMingLiU" w:cs="PMingLiU" w:eastAsia="PMingLiU" w:hAnsi="PMingLiU"/>
          <w:sz w:val="17"/>
          <w:szCs w:val="17"/>
          <w:color w:val="231F20"/>
        </w:rPr>
        <w:t></w:t>
      </w:r>
      <w:r>
        <w:rPr>
          <w:rFonts w:ascii="Arial" w:cs="Arial" w:eastAsia="Arial" w:hAnsi="Arial"/>
          <w:sz w:val="17"/>
          <w:szCs w:val="17"/>
          <w:color w:val="231F20"/>
        </w:rPr>
        <w:t>Ł</w:t>
      </w:r>
      <w:r>
        <w:rPr>
          <w:rFonts w:ascii="PMingLiU" w:cs="PMingLiU" w:eastAsia="PMingLiU" w:hAnsi="PMingLiU"/>
          <w:sz w:val="17"/>
          <w:szCs w:val="17"/>
          <w:color w:val="231F20"/>
        </w:rPr>
        <w:t></w:t>
      </w:r>
      <w:r>
        <w:rPr>
          <w:rFonts w:ascii="Arial" w:cs="Arial" w:eastAsia="Arial" w:hAnsi="Arial"/>
          <w:sz w:val="17"/>
          <w:szCs w:val="17"/>
          <w:color w:val="231F20"/>
        </w:rPr>
        <w:t>·§</w:t>
      </w:r>
      <w:r>
        <w:rPr>
          <w:rFonts w:ascii="PMingLiU" w:cs="PMingLiU" w:eastAsia="PMingLiU" w:hAnsi="PMingLiU"/>
          <w:sz w:val="17"/>
          <w:szCs w:val="17"/>
          <w:color w:val="231F20"/>
        </w:rPr>
        <w:t></w:t>
      </w:r>
      <w:r>
        <w:rPr>
          <w:rFonts w:ascii="Arial" w:cs="Arial" w:eastAsia="Arial" w:hAnsi="Arial"/>
          <w:sz w:val="17"/>
          <w:szCs w:val="17"/>
          <w:color w:val="231F20"/>
        </w:rPr>
        <w:t>ë</w:t>
      </w:r>
      <w:r>
        <w:rPr>
          <w:rFonts w:ascii="PMingLiU" w:cs="PMingLiU" w:eastAsia="PMingLiU" w:hAnsi="PMingLiU"/>
          <w:sz w:val="17"/>
          <w:szCs w:val="17"/>
          <w:color w:val="231F20"/>
        </w:rPr>
        <w:t></w:t>
      </w:r>
      <w:r>
        <w:rPr>
          <w:rFonts w:ascii="Arial" w:cs="Arial" w:eastAsia="Arial" w:hAnsi="Arial"/>
          <w:sz w:val="17"/>
          <w:szCs w:val="17"/>
          <w:color w:val="231F20"/>
        </w:rPr>
        <w:t>ŁÒ</w:t>
      </w:r>
      <w:r>
        <w:rPr>
          <w:rFonts w:ascii="PMingLiU" w:cs="PMingLiU" w:eastAsia="PMingLiU" w:hAnsi="PMingLiU"/>
          <w:sz w:val="17"/>
          <w:szCs w:val="17"/>
          <w:color w:val="231F20"/>
        </w:rPr>
        <w:t></w:t>
      </w:r>
      <w:r>
        <w:rPr>
          <w:rFonts w:ascii="Arial" w:cs="Arial" w:eastAsia="Arial" w:hAnsi="Arial"/>
          <w:sz w:val="17"/>
          <w:szCs w:val="17"/>
          <w:color w:val="231F20"/>
        </w:rPr>
        <w:t>Ğ</w:t>
      </w:r>
      <w:r>
        <w:rPr>
          <w:rFonts w:ascii="PMingLiU" w:cs="PMingLiU" w:eastAsia="PMingLiU" w:hAnsi="PMingLiU"/>
          <w:sz w:val="17"/>
          <w:szCs w:val="17"/>
          <w:color w:val="231F20"/>
        </w:rPr>
        <w:t></w:t>
      </w:r>
      <w:r>
        <w:rPr>
          <w:rFonts w:ascii="Arial" w:cs="Arial" w:eastAsia="Arial" w:hAnsi="Arial"/>
          <w:sz w:val="17"/>
          <w:szCs w:val="17"/>
          <w:color w:val="231F20"/>
        </w:rPr>
        <w:t>ÜÖŁÜ¥</w:t>
      </w:r>
      <w:r>
        <w:rPr>
          <w:rFonts w:ascii="PMingLiU" w:cs="PMingLiU" w:eastAsia="PMingLiU" w:hAnsi="PMingLiU"/>
          <w:sz w:val="17"/>
          <w:szCs w:val="17"/>
          <w:color w:val="231F20"/>
        </w:rPr>
        <w:t></w:t>
      </w:r>
      <w:r>
        <w:rPr>
          <w:rFonts w:ascii="Arial" w:cs="Arial" w:eastAsia="Arial" w:hAnsi="Arial"/>
          <w:sz w:val="17"/>
          <w:szCs w:val="17"/>
          <w:color w:val="231F20"/>
        </w:rPr>
        <w:t>Ł</w:t>
      </w:r>
      <w:r>
        <w:rPr>
          <w:rFonts w:ascii="PMingLiU" w:cs="PMingLiU" w:eastAsia="PMingLiU" w:hAnsi="PMingLiU"/>
          <w:sz w:val="17"/>
          <w:szCs w:val="17"/>
          <w:color w:val="231F20"/>
        </w:rPr>
        <w:t/>
      </w:r>
      <w:r>
        <w:rPr>
          <w:rFonts w:ascii="Arial" w:cs="Arial" w:eastAsia="Arial" w:hAnsi="Arial"/>
          <w:sz w:val="17"/>
          <w:szCs w:val="17"/>
          <w:color w:val="231F20"/>
        </w:rPr>
        <w:t>Ä~Ò</w:t>
      </w:r>
      <w:r>
        <w:rPr>
          <w:rFonts w:ascii="PMingLiU" w:cs="PMingLiU" w:eastAsia="PMingLiU" w:hAnsi="PMingLiU"/>
          <w:sz w:val="17"/>
          <w:szCs w:val="17"/>
          <w:color w:val="231F20"/>
        </w:rPr>
        <w:t></w:t>
      </w:r>
      <w:r>
        <w:rPr>
          <w:rFonts w:ascii="Arial" w:cs="Arial" w:eastAsia="Arial" w:hAnsi="Arial"/>
          <w:sz w:val="17"/>
          <w:szCs w:val="17"/>
          <w:color w:val="231F20"/>
        </w:rPr>
        <w:t>ŪÖŁ</w:t>
      </w:r>
      <w:r>
        <w:rPr>
          <w:rFonts w:ascii="PMingLiU" w:cs="PMingLiU" w:eastAsia="PMingLiU" w:hAnsi="PMingLiU"/>
          <w:sz w:val="17"/>
          <w:szCs w:val="17"/>
          <w:color w:val="231F20"/>
        </w:rPr>
        <w:t></w:t>
      </w:r>
      <w:r>
        <w:rPr>
          <w:rFonts w:ascii="Arial" w:cs="Arial" w:eastAsia="Arial" w:hAnsi="Arial"/>
          <w:sz w:val="17"/>
          <w:szCs w:val="17"/>
          <w:color w:val="231F20"/>
        </w:rPr>
        <w:t>Ä¾ĝ</w:t>
      </w:r>
      <w:r>
        <w:rPr>
          <w:rFonts w:ascii="PMingLiU" w:cs="PMingLiU" w:eastAsia="PMingLiU" w:hAnsi="PMingLiU"/>
          <w:sz w:val="17"/>
          <w:szCs w:val="17"/>
          <w:color w:val="231F20"/>
        </w:rPr>
        <w:t></w:t>
      </w:r>
      <w:r>
        <w:rPr>
          <w:rFonts w:ascii="Arial" w:cs="Arial" w:eastAsia="Arial" w:hAnsi="Arial"/>
          <w:sz w:val="17"/>
          <w:szCs w:val="17"/>
          <w:color w:val="231F20"/>
        </w:rPr>
        <w:t>¾</w:t>
      </w:r>
      <w:r>
        <w:rPr>
          <w:rFonts w:ascii="PMingLiU" w:cs="PMingLiU" w:eastAsia="PMingLiU" w:hAnsi="PMingLiU"/>
          <w:sz w:val="17"/>
          <w:szCs w:val="17"/>
          <w:color w:val="231F20"/>
        </w:rPr>
        <w:t></w:t>
      </w:r>
      <w:r>
        <w:rPr>
          <w:rFonts w:ascii="Arial" w:cs="Arial" w:eastAsia="Arial" w:hAnsi="Arial"/>
          <w:sz w:val="17"/>
          <w:szCs w:val="17"/>
          <w:color w:val="231F20"/>
        </w:rPr>
        <w:t>Ł§¾ŁÄàÒŁÖÜÒ~Ü</w:t>
      </w:r>
      <w:r>
        <w:rPr>
          <w:rFonts w:ascii="PMingLiU" w:cs="PMingLiU" w:eastAsia="PMingLiU" w:hAnsi="PMingLiU"/>
          <w:sz w:val="17"/>
          <w:szCs w:val="17"/>
          <w:color w:val="231F20"/>
        </w:rPr>
        <w:t></w:t>
      </w:r>
      <w:r>
        <w:rPr>
          <w:rFonts w:ascii="Arial" w:cs="Arial" w:eastAsia="Arial" w:hAnsi="Arial"/>
          <w:sz w:val="17"/>
          <w:szCs w:val="17"/>
          <w:color w:val="231F20"/>
        </w:rPr>
        <w:t>¡òŁ~¾</w:t>
      </w:r>
      <w:r>
        <w:rPr>
          <w:rFonts w:ascii="PMingLiU" w:cs="PMingLiU" w:eastAsia="PMingLiU" w:hAnsi="PMingLiU"/>
          <w:sz w:val="17"/>
          <w:szCs w:val="17"/>
          <w:color w:val="231F20"/>
        </w:rPr>
        <w:t></w:t>
      </w:r>
      <w:r>
        <w:rPr>
          <w:rFonts w:ascii="Arial" w:cs="Arial" w:eastAsia="Arial" w:hAnsi="Arial"/>
          <w:sz w:val="17"/>
          <w:szCs w:val="17"/>
          <w:color w:val="231F20"/>
        </w:rPr>
        <w:t>ŁÜ¥</w:t>
      </w:r>
      <w:r>
        <w:rPr>
          <w:rFonts w:ascii="PMingLiU" w:cs="PMingLiU" w:eastAsia="PMingLiU" w:hAnsi="PMingLiU"/>
          <w:sz w:val="17"/>
          <w:szCs w:val="17"/>
          <w:color w:val="231F20"/>
        </w:rPr>
        <w:t></w:t>
      </w:r>
      <w:r>
        <w:rPr>
          <w:rFonts w:ascii="Arial" w:cs="Arial" w:eastAsia="Arial" w:hAnsi="Arial"/>
          <w:sz w:val="17"/>
          <w:szCs w:val="17"/>
          <w:color w:val="231F20"/>
        </w:rPr>
        <w:t>ŁÜÒ~³</w:t>
      </w:r>
      <w:r>
        <w:rPr>
          <w:rFonts w:ascii="PMingLiU" w:cs="PMingLiU" w:eastAsia="PMingLiU" w:hAnsi="PMingLiU"/>
          <w:sz w:val="17"/>
          <w:szCs w:val="17"/>
          <w:color w:val="231F20"/>
        </w:rPr>
        <w:t></w:t>
      </w:r>
      <w:r>
        <w:rPr>
          <w:rFonts w:ascii="Arial" w:cs="Arial" w:eastAsia="Arial" w:hAnsi="Arial"/>
          <w:sz w:val="17"/>
          <w:szCs w:val="17"/>
          <w:color w:val="231F20"/>
        </w:rPr>
        <w:t>ÜÄÒòŁÄ ŁÄàÒŁ</w:t>
      </w:r>
      <w:r>
        <w:rPr>
          <w:rFonts w:ascii="PMingLiU" w:cs="PMingLiU" w:eastAsia="PMingLiU" w:hAnsi="PMingLiU"/>
          <w:sz w:val="17"/>
          <w:szCs w:val="17"/>
          <w:color w:val="231F20"/>
        </w:rPr>
        <w:t></w:t>
      </w:r>
      <w:r>
        <w:rPr>
          <w:rFonts w:ascii="Arial" w:cs="Arial" w:eastAsia="Arial" w:hAnsi="Arial"/>
          <w:sz w:val="17"/>
          <w:szCs w:val="17"/>
          <w:color w:val="231F20"/>
        </w:rPr>
        <w:t>àÖ§¾</w:t>
      </w:r>
      <w:r>
        <w:rPr>
          <w:rFonts w:ascii="PMingLiU" w:cs="PMingLiU" w:eastAsia="PMingLiU" w:hAnsi="PMingLiU"/>
          <w:sz w:val="17"/>
          <w:szCs w:val="17"/>
          <w:color w:val="231F20"/>
        </w:rPr>
        <w:t></w:t>
      </w:r>
      <w:r>
        <w:rPr>
          <w:rFonts w:ascii="Arial" w:cs="Arial" w:eastAsia="Arial" w:hAnsi="Arial"/>
          <w:sz w:val="17"/>
          <w:szCs w:val="17"/>
          <w:color w:val="231F20"/>
        </w:rPr>
        <w:t>ÖÖńŁm</w:t>
      </w:r>
      <w:r>
        <w:rPr>
          <w:rFonts w:ascii="PMingLiU" w:cs="PMingLiU" w:eastAsia="PMingLiU" w:hAnsi="PMingLiU"/>
          <w:sz w:val="17"/>
          <w:szCs w:val="17"/>
          <w:color w:val="231F20"/>
        </w:rPr>
        <w:t></w:t>
      </w:r>
      <w:r>
        <w:rPr>
          <w:rFonts w:ascii="Arial" w:cs="Arial" w:eastAsia="Arial" w:hAnsi="Arial"/>
          <w:sz w:val="17"/>
          <w:szCs w:val="17"/>
          <w:color w:val="231F20"/>
        </w:rPr>
        <w:t xml:space="preserve">Ł </w:t>
      </w:r>
      <w:r>
        <w:rPr>
          <w:rFonts w:ascii="Arial" w:cs="Arial" w:eastAsia="Arial" w:hAnsi="Arial"/>
          <w:sz w:val="17"/>
          <w:szCs w:val="17"/>
          <w:color w:val="231F20"/>
        </w:rPr>
        <w:t>remain committed to deploying capital thoughtfully on behalf of our shareholders.</w:t>
      </w:r>
    </w:p>
    <w:p>
      <w:pPr>
        <w:spacing w:after="0" w:line="242" w:lineRule="exact"/>
        <w:rPr>
          <w:sz w:val="20"/>
          <w:szCs w:val="20"/>
          <w:color w:val="auto"/>
        </w:rPr>
      </w:pPr>
    </w:p>
    <w:p>
      <w:pPr>
        <w:spacing w:after="0"/>
        <w:rPr>
          <w:sz w:val="20"/>
          <w:szCs w:val="20"/>
          <w:color w:val="auto"/>
        </w:rPr>
      </w:pPr>
      <w:r>
        <w:rPr>
          <w:rFonts w:ascii="Arial" w:cs="Arial" w:eastAsia="Arial" w:hAnsi="Arial"/>
          <w:sz w:val="26"/>
          <w:szCs w:val="26"/>
          <w:b w:val="1"/>
          <w:bCs w:val="1"/>
          <w:color w:val="10568C"/>
        </w:rPr>
        <w:t>The EDGE Initiative: Building the Capacity to Win</w:t>
      </w:r>
    </w:p>
    <w:p>
      <w:pPr>
        <w:spacing w:after="0" w:line="140" w:lineRule="exact"/>
        <w:rPr>
          <w:sz w:val="20"/>
          <w:szCs w:val="20"/>
          <w:color w:val="auto"/>
        </w:rPr>
      </w:pPr>
    </w:p>
    <w:p>
      <w:pPr>
        <w:ind w:right="280"/>
        <w:spacing w:after="0" w:line="238" w:lineRule="exact"/>
        <w:rPr>
          <w:sz w:val="20"/>
          <w:szCs w:val="20"/>
          <w:color w:val="auto"/>
        </w:rPr>
      </w:pPr>
      <w:r>
        <w:rPr>
          <w:rFonts w:ascii="Arial" w:cs="Arial" w:eastAsia="Arial" w:hAnsi="Arial"/>
          <w:sz w:val="15"/>
          <w:szCs w:val="15"/>
          <w:color w:val="231F20"/>
        </w:rPr>
        <w:t>*¾ŁÜ¥</w:t>
      </w:r>
      <w:r>
        <w:rPr>
          <w:rFonts w:ascii="PMingLiU" w:cs="PMingLiU" w:eastAsia="PMingLiU" w:hAnsi="PMingLiU"/>
          <w:sz w:val="15"/>
          <w:szCs w:val="15"/>
          <w:color w:val="231F20"/>
        </w:rPr>
        <w:t></w:t>
      </w:r>
      <w:r>
        <w:rPr>
          <w:rFonts w:ascii="Arial" w:cs="Arial" w:eastAsia="Arial" w:hAnsi="Arial"/>
          <w:sz w:val="15"/>
          <w:szCs w:val="15"/>
          <w:color w:val="231F20"/>
        </w:rPr>
        <w:t>ŁÜ¥§Ò</w:t>
      </w:r>
      <w:r>
        <w:rPr>
          <w:rFonts w:ascii="PMingLiU" w:cs="PMingLiU" w:eastAsia="PMingLiU" w:hAnsi="PMingLiU"/>
          <w:sz w:val="15"/>
          <w:szCs w:val="15"/>
          <w:color w:val="231F20"/>
        </w:rPr>
        <w:t></w:t>
      </w:r>
      <w:r>
        <w:rPr>
          <w:rFonts w:ascii="Arial" w:cs="Arial" w:eastAsia="Arial" w:hAnsi="Arial"/>
          <w:sz w:val="15"/>
          <w:szCs w:val="15"/>
          <w:color w:val="231F20"/>
        </w:rPr>
        <w:t>ŁÑà~ÒÜ</w:t>
      </w:r>
      <w:r>
        <w:rPr>
          <w:rFonts w:ascii="PMingLiU" w:cs="PMingLiU" w:eastAsia="PMingLiU" w:hAnsi="PMingLiU"/>
          <w:sz w:val="15"/>
          <w:szCs w:val="15"/>
          <w:color w:val="231F20"/>
        </w:rPr>
        <w:t></w:t>
      </w:r>
      <w:r>
        <w:rPr>
          <w:rFonts w:ascii="Arial" w:cs="Arial" w:eastAsia="Arial" w:hAnsi="Arial"/>
          <w:sz w:val="15"/>
          <w:szCs w:val="15"/>
          <w:color w:val="231F20"/>
        </w:rPr>
        <w:t>ÒŁÄ ŁĤĢĤħŅŁì</w:t>
      </w:r>
      <w:r>
        <w:rPr>
          <w:rFonts w:ascii="PMingLiU" w:cs="PMingLiU" w:eastAsia="PMingLiU" w:hAnsi="PMingLiU"/>
          <w:sz w:val="15"/>
          <w:szCs w:val="15"/>
          <w:color w:val="231F20"/>
        </w:rPr>
        <w:t></w:t>
      </w:r>
      <w:r>
        <w:rPr>
          <w:rFonts w:ascii="Arial" w:cs="Arial" w:eastAsia="Arial" w:hAnsi="Arial"/>
          <w:sz w:val="15"/>
          <w:szCs w:val="15"/>
          <w:color w:val="231F20"/>
        </w:rPr>
        <w:t>Ł·~à¾</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
      </w:r>
      <w:r>
        <w:rPr>
          <w:rFonts w:ascii="Arial" w:cs="Arial" w:eastAsia="Arial" w:hAnsi="Arial"/>
          <w:sz w:val="15"/>
          <w:szCs w:val="15"/>
          <w:color w:val="231F20"/>
        </w:rPr>
        <w:t>$</w:t>
      </w:r>
      <w:r>
        <w:rPr>
          <w:rFonts w:ascii="PMingLiU" w:cs="PMingLiU" w:eastAsia="PMingLiU" w:hAnsi="PMingLiU"/>
          <w:sz w:val="15"/>
          <w:szCs w:val="15"/>
          <w:color w:val="231F20"/>
        </w:rPr>
        <w:t/>
      </w:r>
      <w:r>
        <w:rPr>
          <w:rFonts w:ascii="Arial" w:cs="Arial" w:eastAsia="Arial" w:hAnsi="Arial"/>
          <w:sz w:val="15"/>
          <w:szCs w:val="15"/>
          <w:color w:val="231F20"/>
        </w:rPr>
        <w:t>ŁŖŁ</w:t>
      </w:r>
      <w:r>
        <w:rPr>
          <w:rFonts w:ascii="PMingLiU" w:cs="PMingLiU" w:eastAsia="PMingLiU" w:hAnsi="PMingLiU"/>
          <w:sz w:val="15"/>
          <w:szCs w:val="15"/>
          <w:color w:val="231F20"/>
        </w:rPr>
        <w:t/>
      </w:r>
      <w:r>
        <w:rPr>
          <w:rFonts w:ascii="Arial" w:cs="Arial" w:eastAsia="Arial" w:hAnsi="Arial"/>
          <w:sz w:val="15"/>
          <w:szCs w:val="15"/>
          <w:color w:val="231F20"/>
        </w:rPr>
        <w:t xml:space="preserve"> ĝ</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¾</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ÖŁ</w:t>
      </w:r>
      <w:r>
        <w:rPr>
          <w:rFonts w:ascii="PMingLiU" w:cs="PMingLiU" w:eastAsia="PMingLiU" w:hAnsi="PMingLiU"/>
          <w:sz w:val="15"/>
          <w:szCs w:val="15"/>
          <w:color w:val="231F20"/>
        </w:rPr>
        <w:t/>
      </w:r>
      <w:r>
        <w:rPr>
          <w:rFonts w:ascii="Arial" w:cs="Arial" w:eastAsia="Arial" w:hAnsi="Arial"/>
          <w:sz w:val="15"/>
          <w:szCs w:val="15"/>
          <w:color w:val="231F20"/>
        </w:rPr>
        <w:t>Ò§ë§¾¡Ł$ÒÄìÜ¥Ł~¾</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
      </w:r>
      <w:r>
        <w:rPr>
          <w:rFonts w:ascii="Arial" w:cs="Arial" w:eastAsia="Arial" w:hAnsi="Arial"/>
          <w:sz w:val="15"/>
          <w:szCs w:val="15"/>
          <w:color w:val="231F20"/>
        </w:rPr>
        <w:t>ñÏ~¾Ö§Ä¾ńŁ</w:t>
      </w:r>
      <w:r>
        <w:rPr>
          <w:rFonts w:ascii="PMingLiU" w:cs="PMingLiU" w:eastAsia="PMingLiU" w:hAnsi="PMingLiU"/>
          <w:sz w:val="15"/>
          <w:szCs w:val="15"/>
          <w:color w:val="231F20"/>
        </w:rPr>
        <w:t/>
      </w:r>
      <w:r>
        <w:rPr>
          <w:rFonts w:ascii="Arial" w:cs="Arial" w:eastAsia="Arial" w:hAnsi="Arial"/>
          <w:sz w:val="15"/>
          <w:szCs w:val="15"/>
          <w:color w:val="231F20"/>
        </w:rPr>
        <w:t>$</w:t>
      </w:r>
      <w:r>
        <w:rPr>
          <w:rFonts w:ascii="PMingLiU" w:cs="PMingLiU" w:eastAsia="PMingLiU" w:hAnsi="PMingLiU"/>
          <w:sz w:val="15"/>
          <w:szCs w:val="15"/>
          <w:color w:val="231F20"/>
        </w:rPr>
        <w:t/>
      </w:r>
      <w:r>
        <w:rPr>
          <w:rFonts w:ascii="Arial" w:cs="Arial" w:eastAsia="Arial" w:hAnsi="Arial"/>
          <w:sz w:val="15"/>
          <w:szCs w:val="15"/>
          <w:color w:val="231F20"/>
        </w:rPr>
        <w:t>ŁŁ§ÖŁ~ŁÖÜÒà</w:t>
      </w:r>
      <w:r>
        <w:rPr>
          <w:rFonts w:ascii="PMingLiU" w:cs="PMingLiU" w:eastAsia="PMingLiU" w:hAnsi="PMingLiU"/>
          <w:sz w:val="15"/>
          <w:szCs w:val="15"/>
          <w:color w:val="231F20"/>
        </w:rPr>
        <w:t></w:t>
      </w:r>
      <w:r>
        <w:rPr>
          <w:rFonts w:ascii="Arial" w:cs="Arial" w:eastAsia="Arial" w:hAnsi="Arial"/>
          <w:sz w:val="15"/>
          <w:szCs w:val="15"/>
          <w:color w:val="231F20"/>
        </w:rPr>
        <w:t>ÜàÒ~·ŁÒ</w:t>
      </w:r>
      <w:r>
        <w:rPr>
          <w:rFonts w:ascii="PMingLiU" w:cs="PMingLiU" w:eastAsia="PMingLiU" w:hAnsi="PMingLiU"/>
          <w:sz w:val="15"/>
          <w:szCs w:val="15"/>
          <w:color w:val="231F20"/>
        </w:rPr>
        <w:t></w:t>
      </w:r>
      <w:r>
        <w:rPr>
          <w:rFonts w:ascii="Arial" w:cs="Arial" w:eastAsia="Arial" w:hAnsi="Arial"/>
          <w:sz w:val="15"/>
          <w:szCs w:val="15"/>
          <w:color w:val="231F20"/>
        </w:rPr>
        <w:t>~·§¡¾½</w:t>
      </w:r>
      <w:r>
        <w:rPr>
          <w:rFonts w:ascii="PMingLiU" w:cs="PMingLiU" w:eastAsia="PMingLiU" w:hAnsi="PMingLiU"/>
          <w:sz w:val="15"/>
          <w:szCs w:val="15"/>
          <w:color w:val="231F20"/>
        </w:rPr>
        <w:t></w:t>
      </w:r>
      <w:r>
        <w:rPr>
          <w:rFonts w:ascii="Arial" w:cs="Arial" w:eastAsia="Arial" w:hAnsi="Arial"/>
          <w:sz w:val="15"/>
          <w:szCs w:val="15"/>
          <w:color w:val="231F20"/>
        </w:rPr>
        <w:t xml:space="preserve">¾ÜŁ </w:t>
      </w:r>
      <w:r>
        <w:rPr>
          <w:rFonts w:ascii="Arial" w:cs="Arial" w:eastAsia="Arial" w:hAnsi="Arial"/>
          <w:sz w:val="15"/>
          <w:szCs w:val="15"/>
          <w:color w:val="231F20"/>
        </w:rPr>
        <w:t xml:space="preserve">of how we operate: sharpening our resource allocation, reducing organizational complexity, and freeing up investment </w:t>
      </w:r>
      <w:r>
        <w:rPr>
          <w:rFonts w:ascii="PMingLiU" w:cs="PMingLiU" w:eastAsia="PMingLiU" w:hAnsi="PMingLiU"/>
          <w:sz w:val="15"/>
          <w:szCs w:val="15"/>
          <w:color w:val="231F20"/>
        </w:rPr>
        <w:t></w:t>
      </w:r>
      <w:r>
        <w:rPr>
          <w:rFonts w:ascii="Arial" w:cs="Arial" w:eastAsia="Arial" w:hAnsi="Arial"/>
          <w:sz w:val="15"/>
          <w:szCs w:val="15"/>
          <w:color w:val="231F20"/>
        </w:rPr>
        <w:t>~Ï~</w:t>
      </w:r>
      <w:r>
        <w:rPr>
          <w:rFonts w:ascii="PMingLiU" w:cs="PMingLiU" w:eastAsia="PMingLiU" w:hAnsi="PMingLiU"/>
          <w:sz w:val="15"/>
          <w:szCs w:val="15"/>
          <w:color w:val="231F20"/>
        </w:rPr>
        <w:t></w:t>
      </w:r>
      <w:r>
        <w:rPr>
          <w:rFonts w:ascii="Arial" w:cs="Arial" w:eastAsia="Arial" w:hAnsi="Arial"/>
          <w:sz w:val="15"/>
          <w:szCs w:val="15"/>
          <w:color w:val="231F20"/>
        </w:rPr>
        <w:t>§ÜòŁÜÄŁ à¾</w:t>
      </w:r>
      <w:r>
        <w:rPr>
          <w:rFonts w:ascii="PMingLiU" w:cs="PMingLiU" w:eastAsia="PMingLiU" w:hAnsi="PMingLiU"/>
          <w:sz w:val="15"/>
          <w:szCs w:val="15"/>
          <w:color w:val="231F20"/>
        </w:rPr>
        <w:t></w:t>
      </w:r>
      <w:r>
        <w:rPr>
          <w:rFonts w:ascii="Arial" w:cs="Arial" w:eastAsia="Arial" w:hAnsi="Arial"/>
          <w:sz w:val="15"/>
          <w:szCs w:val="15"/>
          <w:color w:val="231F20"/>
        </w:rPr>
        <w:t>ŁÜ¥</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~Ï~</w:t>
      </w:r>
      <w:r>
        <w:rPr>
          <w:rFonts w:ascii="PMingLiU" w:cs="PMingLiU" w:eastAsia="PMingLiU" w:hAnsi="PMingLiU"/>
          <w:sz w:val="15"/>
          <w:szCs w:val="15"/>
          <w:color w:val="231F20"/>
        </w:rPr>
        <w:t></w:t>
      </w: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ÖŁÜ¥~ÜŁì§··Ł</w:t>
      </w:r>
      <w:r>
        <w:rPr>
          <w:rFonts w:ascii="PMingLiU" w:cs="PMingLiU" w:eastAsia="PMingLiU" w:hAnsi="PMingLiU"/>
          <w:sz w:val="15"/>
          <w:szCs w:val="15"/>
          <w:color w:val="231F20"/>
        </w:rPr>
        <w:t></w:t>
      </w:r>
      <w:r>
        <w:rPr>
          <w:rFonts w:ascii="Arial" w:cs="Arial" w:eastAsia="Arial" w:hAnsi="Arial"/>
          <w:sz w:val="15"/>
          <w:szCs w:val="15"/>
          <w:color w:val="231F20"/>
        </w:rPr>
        <w:t xml:space="preserve">§ </w:t>
      </w:r>
      <w:r>
        <w:rPr>
          <w:rFonts w:ascii="PMingLiU" w:cs="PMingLiU" w:eastAsia="PMingLiU" w:hAnsi="PMingLiU"/>
          <w:sz w:val="15"/>
          <w:szCs w:val="15"/>
          <w:color w:val="231F20"/>
        </w:rPr>
        <w:t></w:t>
      </w:r>
      <w:r>
        <w:rPr>
          <w:rFonts w:ascii="Arial" w:cs="Arial" w:eastAsia="Arial" w:hAnsi="Arial"/>
          <w:sz w:val="15"/>
          <w:szCs w:val="15"/>
          <w:color w:val="231F20"/>
        </w:rPr>
        <w:t>Ò</w:t>
      </w:r>
      <w:r>
        <w:rPr>
          <w:rFonts w:ascii="PMingLiU" w:cs="PMingLiU" w:eastAsia="PMingLiU" w:hAnsi="PMingLiU"/>
          <w:sz w:val="15"/>
          <w:szCs w:val="15"/>
          <w:color w:val="231F20"/>
        </w:rPr>
        <w:t></w:t>
      </w:r>
      <w:r>
        <w:rPr>
          <w:rFonts w:ascii="Arial" w:cs="Arial" w:eastAsia="Arial" w:hAnsi="Arial"/>
          <w:sz w:val="15"/>
          <w:szCs w:val="15"/>
          <w:color w:val="231F20"/>
        </w:rPr>
        <w:t>¾Ü§~Ü</w:t>
      </w:r>
      <w:r>
        <w:rPr>
          <w:rFonts w:ascii="PMingLiU" w:cs="PMingLiU" w:eastAsia="PMingLiU" w:hAnsi="PMingLiU"/>
          <w:sz w:val="15"/>
          <w:szCs w:val="15"/>
          <w:color w:val="231F20"/>
        </w:rPr>
        <w:t></w:t>
      </w:r>
      <w:r>
        <w:rPr>
          <w:rFonts w:ascii="Arial" w:cs="Arial" w:eastAsia="Arial" w:hAnsi="Arial"/>
          <w:sz w:val="15"/>
          <w:szCs w:val="15"/>
          <w:color w:val="231F20"/>
        </w:rPr>
        <w:t>Ł&gt;~ÖÜ</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
      </w:r>
      <w:r>
        <w:rPr>
          <w:rFonts w:ascii="Arial" w:cs="Arial" w:eastAsia="Arial" w:hAnsi="Arial"/>
          <w:sz w:val="15"/>
          <w:szCs w:val="15"/>
          <w:color w:val="231F20"/>
        </w:rPr>
        <w:t>§¡§Ü~·Ł§¾ŁÜ¥</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
      </w:r>
      <w:r>
        <w:rPr>
          <w:rFonts w:ascii="Arial" w:cs="Arial" w:eastAsia="Arial" w:hAnsi="Arial"/>
          <w:sz w:val="15"/>
          <w:szCs w:val="15"/>
          <w:color w:val="231F20"/>
        </w:rPr>
        <w:t>*ŕĝÒÖÜŁ</w:t>
      </w:r>
      <w:r>
        <w:rPr>
          <w:rFonts w:ascii="PMingLiU" w:cs="PMingLiU" w:eastAsia="PMingLiU" w:hAnsi="PMingLiU"/>
          <w:sz w:val="15"/>
          <w:szCs w:val="15"/>
          <w:color w:val="231F20"/>
        </w:rPr>
        <w:t></w:t>
      </w:r>
      <w:r>
        <w:rPr>
          <w:rFonts w:ascii="Arial" w:cs="Arial" w:eastAsia="Arial" w:hAnsi="Arial"/>
          <w:sz w:val="15"/>
          <w:szCs w:val="15"/>
          <w:color w:val="231F20"/>
        </w:rPr>
        <w:t>Ä¾Ä½òń</w:t>
      </w:r>
    </w:p>
    <w:p>
      <w:pPr>
        <w:spacing w:after="0" w:line="249" w:lineRule="exact"/>
        <w:rPr>
          <w:sz w:val="20"/>
          <w:szCs w:val="20"/>
          <w:color w:val="auto"/>
        </w:rPr>
      </w:pPr>
    </w:p>
    <w:p>
      <w:pPr>
        <w:ind w:right="500"/>
        <w:spacing w:after="0" w:line="239" w:lineRule="exact"/>
        <w:rPr>
          <w:sz w:val="20"/>
          <w:szCs w:val="20"/>
          <w:color w:val="auto"/>
        </w:rPr>
      </w:pPr>
      <w:r>
        <w:rPr>
          <w:rFonts w:ascii="Arial" w:cs="Arial" w:eastAsia="Arial" w:hAnsi="Arial"/>
          <w:sz w:val="18"/>
          <w:szCs w:val="18"/>
          <w:color w:val="231F20"/>
        </w:rPr>
        <w:t xml:space="preserve">By year-end, EDGE had begun reshaping our cost structure and creating the headroom we need to invest with conviction in 2026. Among the tangible actions taken, we successfully transitioned our Finance and Accounting functions to India – a </w:t>
      </w:r>
      <w:r>
        <w:rPr>
          <w:rFonts w:ascii="Arial" w:cs="Arial" w:eastAsia="Arial" w:hAnsi="Arial"/>
          <w:sz w:val="18"/>
          <w:szCs w:val="18"/>
          <w:color w:val="231F20"/>
        </w:rPr>
        <w:t>½Äë</w:t>
      </w:r>
      <w:r>
        <w:rPr>
          <w:rFonts w:ascii="PMingLiU" w:cs="PMingLiU" w:eastAsia="PMingLiU" w:hAnsi="PMingLiU"/>
          <w:sz w:val="18"/>
          <w:szCs w:val="18"/>
          <w:color w:val="231F20"/>
        </w:rPr>
        <w:t></w:t>
      </w:r>
      <w:r>
        <w:rPr>
          <w:rFonts w:ascii="Arial" w:cs="Arial" w:eastAsia="Arial" w:hAnsi="Arial"/>
          <w:sz w:val="18"/>
          <w:szCs w:val="18"/>
          <w:color w:val="231F20"/>
        </w:rPr>
        <w:t>ŁÜ¥~ÜŁ§ÖŁ</w:t>
      </w:r>
      <w:r>
        <w:rPr>
          <w:rFonts w:ascii="PMingLiU" w:cs="PMingLiU" w:eastAsia="PMingLiU" w:hAnsi="PMingLiU"/>
          <w:sz w:val="18"/>
          <w:szCs w:val="18"/>
          <w:color w:val="231F20"/>
        </w:rPr>
        <w:t></w:t>
      </w:r>
      <w:r>
        <w:rPr>
          <w:rFonts w:ascii="Arial" w:cs="Arial" w:eastAsia="Arial" w:hAnsi="Arial"/>
          <w:sz w:val="18"/>
          <w:szCs w:val="18"/>
          <w:color w:val="231F20"/>
        </w:rPr>
        <w:t>ñÏ</w:t>
      </w:r>
      <w:r>
        <w:rPr>
          <w:rFonts w:ascii="PMingLiU" w:cs="PMingLiU" w:eastAsia="PMingLiU" w:hAnsi="PMingLiU"/>
          <w:sz w:val="18"/>
          <w:szCs w:val="18"/>
          <w:color w:val="231F20"/>
        </w:rPr>
        <w:t></w:t>
      </w:r>
      <w:r>
        <w:rPr>
          <w:rFonts w:ascii="Arial" w:cs="Arial" w:eastAsia="Arial" w:hAnsi="Arial"/>
          <w:sz w:val="18"/>
          <w:szCs w:val="18"/>
          <w:color w:val="231F20"/>
        </w:rPr>
        <w:t>Ü</w:t>
      </w:r>
      <w:r>
        <w:rPr>
          <w:rFonts w:ascii="PMingLiU" w:cs="PMingLiU" w:eastAsia="PMingLiU" w:hAnsi="PMingLiU"/>
          <w:sz w:val="18"/>
          <w:szCs w:val="18"/>
          <w:color w:val="231F20"/>
        </w:rPr>
        <w:t></w:t>
      </w:r>
      <w:r>
        <w:rPr>
          <w:rFonts w:ascii="Arial" w:cs="Arial" w:eastAsia="Arial" w:hAnsi="Arial"/>
          <w:sz w:val="18"/>
          <w:szCs w:val="18"/>
          <w:color w:val="231F20"/>
        </w:rPr>
        <w:t>ŁÜÄŁ¡</w:t>
      </w:r>
      <w:r>
        <w:rPr>
          <w:rFonts w:ascii="PMingLiU" w:cs="PMingLiU" w:eastAsia="PMingLiU" w:hAnsi="PMingLiU"/>
          <w:sz w:val="18"/>
          <w:szCs w:val="18"/>
          <w:color w:val="231F20"/>
        </w:rPr>
        <w:t></w:t>
      </w:r>
      <w:r>
        <w:rPr>
          <w:rFonts w:ascii="Arial" w:cs="Arial" w:eastAsia="Arial" w:hAnsi="Arial"/>
          <w:sz w:val="18"/>
          <w:szCs w:val="18"/>
          <w:color w:val="231F20"/>
        </w:rPr>
        <w:t>¾</w:t>
      </w:r>
      <w:r>
        <w:rPr>
          <w:rFonts w:ascii="PMingLiU" w:cs="PMingLiU" w:eastAsia="PMingLiU" w:hAnsi="PMingLiU"/>
          <w:sz w:val="18"/>
          <w:szCs w:val="18"/>
          <w:color w:val="231F20"/>
        </w:rPr>
        <w:t></w:t>
      </w:r>
      <w:r>
        <w:rPr>
          <w:rFonts w:ascii="Arial" w:cs="Arial" w:eastAsia="Arial" w:hAnsi="Arial"/>
          <w:sz w:val="18"/>
          <w:szCs w:val="18"/>
          <w:color w:val="231F20"/>
        </w:rPr>
        <w:t>Ò~Ü</w:t>
      </w:r>
      <w:r>
        <w:rPr>
          <w:rFonts w:ascii="PMingLiU" w:cs="PMingLiU" w:eastAsia="PMingLiU" w:hAnsi="PMingLiU"/>
          <w:sz w:val="18"/>
          <w:szCs w:val="18"/>
          <w:color w:val="231F20"/>
        </w:rPr>
        <w:t></w:t>
      </w:r>
      <w:r>
        <w:rPr>
          <w:rFonts w:ascii="Arial" w:cs="Arial" w:eastAsia="Arial" w:hAnsi="Arial"/>
          <w:sz w:val="18"/>
          <w:szCs w:val="18"/>
          <w:color w:val="231F20"/>
        </w:rPr>
        <w:t>Ł~ÏÏÒÄñ§½~Ü</w:t>
      </w:r>
      <w:r>
        <w:rPr>
          <w:rFonts w:ascii="PMingLiU" w:cs="PMingLiU" w:eastAsia="PMingLiU" w:hAnsi="PMingLiU"/>
          <w:sz w:val="18"/>
          <w:szCs w:val="18"/>
          <w:color w:val="231F20"/>
        </w:rPr>
        <w:t></w:t>
      </w:r>
      <w:r>
        <w:rPr>
          <w:rFonts w:ascii="Arial" w:cs="Arial" w:eastAsia="Arial" w:hAnsi="Arial"/>
          <w:sz w:val="18"/>
          <w:szCs w:val="18"/>
          <w:color w:val="231F20"/>
        </w:rPr>
        <w:t>·òŁƄģńĤŁ½§··§Ä¾Ł§¾Ł~¾¾à~·§ø</w:t>
      </w:r>
      <w:r>
        <w:rPr>
          <w:rFonts w:ascii="PMingLiU" w:cs="PMingLiU" w:eastAsia="PMingLiU" w:hAnsi="PMingLiU"/>
          <w:sz w:val="18"/>
          <w:szCs w:val="18"/>
          <w:color w:val="231F20"/>
        </w:rPr>
        <w:t></w:t>
      </w:r>
      <w:r>
        <w:rPr>
          <w:rFonts w:ascii="Arial" w:cs="Arial" w:eastAsia="Arial" w:hAnsi="Arial"/>
          <w:sz w:val="18"/>
          <w:szCs w:val="18"/>
          <w:color w:val="231F20"/>
        </w:rPr>
        <w:t>Ł</w:t>
      </w:r>
      <w:r>
        <w:rPr>
          <w:rFonts w:ascii="PMingLiU" w:cs="PMingLiU" w:eastAsia="PMingLiU" w:hAnsi="PMingLiU"/>
          <w:sz w:val="18"/>
          <w:szCs w:val="18"/>
          <w:color w:val="231F20"/>
        </w:rPr>
        <w:t></w:t>
      </w:r>
      <w:r>
        <w:rPr>
          <w:rFonts w:ascii="Arial" w:cs="Arial" w:eastAsia="Arial" w:hAnsi="Arial"/>
          <w:sz w:val="18"/>
          <w:szCs w:val="18"/>
          <w:color w:val="231F20"/>
        </w:rPr>
        <w:t>ÄÖÜŁÖ~ë§¾¡ÖńŁm</w:t>
      </w:r>
      <w:r>
        <w:rPr>
          <w:rFonts w:ascii="PMingLiU" w:cs="PMingLiU" w:eastAsia="PMingLiU" w:hAnsi="PMingLiU"/>
          <w:sz w:val="18"/>
          <w:szCs w:val="18"/>
          <w:color w:val="231F20"/>
        </w:rPr>
        <w:t></w:t>
      </w:r>
      <w:r>
        <w:rPr>
          <w:rFonts w:ascii="Arial" w:cs="Arial" w:eastAsia="Arial" w:hAnsi="Arial"/>
          <w:sz w:val="18"/>
          <w:szCs w:val="18"/>
          <w:color w:val="231F20"/>
        </w:rPr>
        <w:t>Ł~·ÖÄŁ Ò</w:t>
      </w:r>
      <w:r>
        <w:rPr>
          <w:rFonts w:ascii="PMingLiU" w:cs="PMingLiU" w:eastAsia="PMingLiU" w:hAnsi="PMingLiU"/>
          <w:sz w:val="18"/>
          <w:szCs w:val="18"/>
          <w:color w:val="231F20"/>
        </w:rPr>
        <w:t></w:t>
      </w:r>
      <w:r>
        <w:rPr>
          <w:rFonts w:ascii="Arial" w:cs="Arial" w:eastAsia="Arial" w:hAnsi="Arial"/>
          <w:sz w:val="18"/>
          <w:szCs w:val="18"/>
          <w:color w:val="231F20"/>
        </w:rPr>
        <w:t>ŁàÏŁÄÏ</w:t>
      </w:r>
      <w:r>
        <w:rPr>
          <w:rFonts w:ascii="PMingLiU" w:cs="PMingLiU" w:eastAsia="PMingLiU" w:hAnsi="PMingLiU"/>
          <w:sz w:val="18"/>
          <w:szCs w:val="18"/>
          <w:color w:val="231F20"/>
        </w:rPr>
        <w:t></w:t>
      </w:r>
      <w:r>
        <w:rPr>
          <w:rFonts w:ascii="Arial" w:cs="Arial" w:eastAsia="Arial" w:hAnsi="Arial"/>
          <w:sz w:val="18"/>
          <w:szCs w:val="18"/>
          <w:color w:val="231F20"/>
        </w:rPr>
        <w:t xml:space="preserve">Ò~Ü§Ä¾~·Ł </w:t>
      </w:r>
      <w:r>
        <w:rPr>
          <w:rFonts w:ascii="Arial" w:cs="Arial" w:eastAsia="Arial" w:hAnsi="Arial"/>
          <w:sz w:val="18"/>
          <w:szCs w:val="18"/>
          <w:color w:val="231F20"/>
        </w:rPr>
        <w:t>bandwidth, addressed spend redundancies which gives us the capacity to make targeted leadership investments and executed organizational changes that we believe position us to move faster and operate with greater accountability. Internally, we established a disciplined set of key performance indicators that we now track rigorously across the business. This gives us the forecasting precision and operational visibility to make better, faster decisions at every level of the organization.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EDGE created the capacity. Our task in 2026 is to invest for maximizing growth.</w:t>
      </w:r>
    </w:p>
    <w:p>
      <w:pPr>
        <w:spacing w:after="0" w:line="266" w:lineRule="exact"/>
        <w:rPr>
          <w:sz w:val="20"/>
          <w:szCs w:val="20"/>
          <w:color w:val="auto"/>
        </w:rPr>
      </w:pPr>
    </w:p>
    <w:p>
      <w:pPr>
        <w:spacing w:after="0"/>
        <w:rPr>
          <w:sz w:val="20"/>
          <w:szCs w:val="20"/>
          <w:color w:val="auto"/>
        </w:rPr>
      </w:pPr>
      <w:r>
        <w:rPr>
          <w:rFonts w:ascii="Arial" w:cs="Arial" w:eastAsia="Arial" w:hAnsi="Arial"/>
          <w:sz w:val="26"/>
          <w:szCs w:val="26"/>
          <w:b w:val="1"/>
          <w:bCs w:val="1"/>
          <w:color w:val="10568C"/>
        </w:rPr>
        <w:t>Building for the AI-First Era</w:t>
      </w:r>
    </w:p>
    <w:p>
      <w:pPr>
        <w:spacing w:after="0" w:line="140" w:lineRule="exact"/>
        <w:rPr>
          <w:sz w:val="20"/>
          <w:szCs w:val="20"/>
          <w:color w:val="auto"/>
        </w:rPr>
      </w:pPr>
    </w:p>
    <w:p>
      <w:pPr>
        <w:ind w:right="300"/>
        <w:spacing w:after="0" w:line="238" w:lineRule="exact"/>
        <w:rPr>
          <w:sz w:val="20"/>
          <w:szCs w:val="20"/>
          <w:color w:val="auto"/>
        </w:rPr>
      </w:pPr>
      <w:r>
        <w:rPr>
          <w:rFonts w:ascii="Arial" w:cs="Arial" w:eastAsia="Arial" w:hAnsi="Arial"/>
          <w:sz w:val="18"/>
          <w:szCs w:val="18"/>
          <w:color w:val="231F20"/>
        </w:rPr>
        <w:t>m</w:t>
      </w:r>
      <w:r>
        <w:rPr>
          <w:rFonts w:ascii="PMingLiU" w:cs="PMingLiU" w:eastAsia="PMingLiU" w:hAnsi="PMingLiU"/>
          <w:sz w:val="18"/>
          <w:szCs w:val="18"/>
          <w:color w:val="231F20"/>
        </w:rPr>
        <w:t></w:t>
      </w:r>
      <w:r>
        <w:rPr>
          <w:rFonts w:ascii="Arial" w:cs="Arial" w:eastAsia="Arial" w:hAnsi="Arial"/>
          <w:sz w:val="18"/>
          <w:szCs w:val="18"/>
          <w:color w:val="231F20"/>
        </w:rPr>
        <w:t>Ł~Ò</w:t>
      </w:r>
      <w:r>
        <w:rPr>
          <w:rFonts w:ascii="PMingLiU" w:cs="PMingLiU" w:eastAsia="PMingLiU" w:hAnsi="PMingLiU"/>
          <w:sz w:val="18"/>
          <w:szCs w:val="18"/>
          <w:color w:val="231F20"/>
        </w:rPr>
        <w:t></w:t>
      </w:r>
      <w:r>
        <w:rPr>
          <w:rFonts w:ascii="Arial" w:cs="Arial" w:eastAsia="Arial" w:hAnsi="Arial"/>
          <w:sz w:val="18"/>
          <w:szCs w:val="18"/>
          <w:color w:val="231F20"/>
        </w:rPr>
        <w:t>Ł·§ë§¾¡ŁÜ¥ÒÄà¡¥ŁÄ¾</w:t>
      </w:r>
      <w:r>
        <w:rPr>
          <w:rFonts w:ascii="PMingLiU" w:cs="PMingLiU" w:eastAsia="PMingLiU" w:hAnsi="PMingLiU"/>
          <w:sz w:val="18"/>
          <w:szCs w:val="18"/>
          <w:color w:val="231F20"/>
        </w:rPr>
        <w:t></w:t>
      </w:r>
      <w:r>
        <w:rPr>
          <w:rFonts w:ascii="Arial" w:cs="Arial" w:eastAsia="Arial" w:hAnsi="Arial"/>
          <w:sz w:val="18"/>
          <w:szCs w:val="18"/>
          <w:color w:val="231F20"/>
        </w:rPr>
        <w:t>ŁÄ ŁÜ¥</w:t>
      </w:r>
      <w:r>
        <w:rPr>
          <w:rFonts w:ascii="PMingLiU" w:cs="PMingLiU" w:eastAsia="PMingLiU" w:hAnsi="PMingLiU"/>
          <w:sz w:val="18"/>
          <w:szCs w:val="18"/>
          <w:color w:val="231F20"/>
        </w:rPr>
        <w:t></w:t>
      </w:r>
      <w:r>
        <w:rPr>
          <w:rFonts w:ascii="Arial" w:cs="Arial" w:eastAsia="Arial" w:hAnsi="Arial"/>
          <w:sz w:val="18"/>
          <w:szCs w:val="18"/>
          <w:color w:val="231F20"/>
        </w:rPr>
        <w:t>Ł½ÄÖÜŁ</w:t>
      </w:r>
      <w:r>
        <w:rPr>
          <w:rFonts w:ascii="PMingLiU" w:cs="PMingLiU" w:eastAsia="PMingLiU" w:hAnsi="PMingLiU"/>
          <w:sz w:val="18"/>
          <w:szCs w:val="18"/>
          <w:color w:val="231F20"/>
        </w:rPr>
        <w:t></w:t>
      </w:r>
      <w:r>
        <w:rPr>
          <w:rFonts w:ascii="Arial" w:cs="Arial" w:eastAsia="Arial" w:hAnsi="Arial"/>
          <w:sz w:val="18"/>
          <w:szCs w:val="18"/>
          <w:color w:val="231F20"/>
        </w:rPr>
        <w:t>Ä¾Ö</w:t>
      </w:r>
      <w:r>
        <w:rPr>
          <w:rFonts w:ascii="PMingLiU" w:cs="PMingLiU" w:eastAsia="PMingLiU" w:hAnsi="PMingLiU"/>
          <w:sz w:val="18"/>
          <w:szCs w:val="18"/>
          <w:color w:val="231F20"/>
        </w:rPr>
        <w:t></w:t>
      </w:r>
      <w:r>
        <w:rPr>
          <w:rFonts w:ascii="Arial" w:cs="Arial" w:eastAsia="Arial" w:hAnsi="Arial"/>
          <w:sz w:val="18"/>
          <w:szCs w:val="18"/>
          <w:color w:val="231F20"/>
        </w:rPr>
        <w:t>Ñà</w:t>
      </w:r>
      <w:r>
        <w:rPr>
          <w:rFonts w:ascii="PMingLiU" w:cs="PMingLiU" w:eastAsia="PMingLiU" w:hAnsi="PMingLiU"/>
          <w:sz w:val="18"/>
          <w:szCs w:val="18"/>
          <w:color w:val="231F20"/>
        </w:rPr>
        <w:t></w:t>
      </w:r>
      <w:r>
        <w:rPr>
          <w:rFonts w:ascii="Arial" w:cs="Arial" w:eastAsia="Arial" w:hAnsi="Arial"/>
          <w:sz w:val="18"/>
          <w:szCs w:val="18"/>
          <w:color w:val="231F20"/>
        </w:rPr>
        <w:t>¾Ü§~·ŁÜ</w:t>
      </w:r>
      <w:r>
        <w:rPr>
          <w:rFonts w:ascii="PMingLiU" w:cs="PMingLiU" w:eastAsia="PMingLiU" w:hAnsi="PMingLiU"/>
          <w:sz w:val="18"/>
          <w:szCs w:val="18"/>
          <w:color w:val="231F20"/>
        </w:rPr>
        <w:t></w:t>
      </w:r>
      <w:r>
        <w:rPr>
          <w:rFonts w:ascii="Arial" w:cs="Arial" w:eastAsia="Arial" w:hAnsi="Arial"/>
          <w:sz w:val="18"/>
          <w:szCs w:val="18"/>
          <w:color w:val="231F20"/>
        </w:rPr>
        <w:t>¥¾Ä·Ä¡òŁÖ¥§ ÜÖŁ§¾Ł~Ł¡</w:t>
      </w:r>
      <w:r>
        <w:rPr>
          <w:rFonts w:ascii="PMingLiU" w:cs="PMingLiU" w:eastAsia="PMingLiU" w:hAnsi="PMingLiU"/>
          <w:sz w:val="18"/>
          <w:szCs w:val="18"/>
          <w:color w:val="231F20"/>
        </w:rPr>
        <w:t></w:t>
      </w:r>
      <w:r>
        <w:rPr>
          <w:rFonts w:ascii="Arial" w:cs="Arial" w:eastAsia="Arial" w:hAnsi="Arial"/>
          <w:sz w:val="18"/>
          <w:szCs w:val="18"/>
          <w:color w:val="231F20"/>
        </w:rPr>
        <w:t>¾</w:t>
      </w:r>
      <w:r>
        <w:rPr>
          <w:rFonts w:ascii="PMingLiU" w:cs="PMingLiU" w:eastAsia="PMingLiU" w:hAnsi="PMingLiU"/>
          <w:sz w:val="18"/>
          <w:szCs w:val="18"/>
          <w:color w:val="231F20"/>
        </w:rPr>
        <w:t></w:t>
      </w:r>
      <w:r>
        <w:rPr>
          <w:rFonts w:ascii="Arial" w:cs="Arial" w:eastAsia="Arial" w:hAnsi="Arial"/>
          <w:sz w:val="18"/>
          <w:szCs w:val="18"/>
          <w:color w:val="231F20"/>
        </w:rPr>
        <w:t>Ò~Ü§Ä¾ńŁ</w:t>
      </w:r>
      <w:r>
        <w:rPr>
          <w:rFonts w:ascii="PMingLiU" w:cs="PMingLiU" w:eastAsia="PMingLiU" w:hAnsi="PMingLiU"/>
          <w:sz w:val="18"/>
          <w:szCs w:val="18"/>
          <w:color w:val="231F20"/>
        </w:rPr>
        <w:t/>
      </w:r>
      <w:r>
        <w:rPr>
          <w:rFonts w:ascii="Arial" w:cs="Arial" w:eastAsia="Arial" w:hAnsi="Arial"/>
          <w:sz w:val="18"/>
          <w:szCs w:val="18"/>
          <w:color w:val="231F20"/>
        </w:rPr>
        <w:t>*Ł§ÖŁ¾ÄŁ·Ä¾¡</w:t>
      </w:r>
      <w:r>
        <w:rPr>
          <w:rFonts w:ascii="PMingLiU" w:cs="PMingLiU" w:eastAsia="PMingLiU" w:hAnsi="PMingLiU"/>
          <w:sz w:val="18"/>
          <w:szCs w:val="18"/>
          <w:color w:val="231F20"/>
        </w:rPr>
        <w:t></w:t>
      </w:r>
      <w:r>
        <w:rPr>
          <w:rFonts w:ascii="Arial" w:cs="Arial" w:eastAsia="Arial" w:hAnsi="Arial"/>
          <w:sz w:val="18"/>
          <w:szCs w:val="18"/>
          <w:color w:val="231F20"/>
        </w:rPr>
        <w:t>ÒŁ~Ł àÜàÒ</w:t>
      </w:r>
      <w:r>
        <w:rPr>
          <w:rFonts w:ascii="PMingLiU" w:cs="PMingLiU" w:eastAsia="PMingLiU" w:hAnsi="PMingLiU"/>
          <w:sz w:val="18"/>
          <w:szCs w:val="18"/>
          <w:color w:val="231F20"/>
        </w:rPr>
        <w:t></w:t>
      </w:r>
      <w:r>
        <w:rPr>
          <w:rFonts w:ascii="Arial" w:cs="Arial" w:eastAsia="Arial" w:hAnsi="Arial"/>
          <w:sz w:val="18"/>
          <w:szCs w:val="18"/>
          <w:color w:val="231F20"/>
        </w:rPr>
        <w:t>Ł</w:t>
      </w:r>
      <w:r>
        <w:rPr>
          <w:rFonts w:ascii="PMingLiU" w:cs="PMingLiU" w:eastAsia="PMingLiU" w:hAnsi="PMingLiU"/>
          <w:sz w:val="18"/>
          <w:szCs w:val="18"/>
          <w:color w:val="231F20"/>
        </w:rPr>
        <w:t></w:t>
      </w:r>
      <w:r>
        <w:rPr>
          <w:rFonts w:ascii="Arial" w:cs="Arial" w:eastAsia="Arial" w:hAnsi="Arial"/>
          <w:sz w:val="18"/>
          <w:szCs w:val="18"/>
          <w:color w:val="231F20"/>
        </w:rPr>
        <w:t>Ä¾Ö§</w:t>
      </w:r>
      <w:r>
        <w:rPr>
          <w:rFonts w:ascii="PMingLiU" w:cs="PMingLiU" w:eastAsia="PMingLiU" w:hAnsi="PMingLiU"/>
          <w:sz w:val="18"/>
          <w:szCs w:val="18"/>
          <w:color w:val="231F20"/>
        </w:rPr>
        <w:t></w:t>
      </w:r>
      <w:r>
        <w:rPr>
          <w:rFonts w:ascii="Arial" w:cs="Arial" w:eastAsia="Arial" w:hAnsi="Arial"/>
          <w:sz w:val="18"/>
          <w:szCs w:val="18"/>
          <w:color w:val="231F20"/>
        </w:rPr>
        <w:t xml:space="preserve">Ò~Ü§Ä¾ŁŖŁ </w:t>
      </w:r>
      <w:r>
        <w:rPr>
          <w:rFonts w:ascii="Arial" w:cs="Arial" w:eastAsia="Arial" w:hAnsi="Arial"/>
          <w:sz w:val="18"/>
          <w:szCs w:val="18"/>
          <w:color w:val="231F20"/>
        </w:rPr>
        <w:t>it is a present reality reshaping how enterprises operate, compete, and create value. Leading AI hyperscalers are becoming increasingly enterprise-focused, and traditional business models across every industry are being disrupted at a pace that is only accelerating.</w:t>
      </w:r>
    </w:p>
    <w:p>
      <w:pPr>
        <w:spacing w:after="0" w:line="250" w:lineRule="exact"/>
        <w:rPr>
          <w:sz w:val="20"/>
          <w:szCs w:val="20"/>
          <w:color w:val="auto"/>
        </w:rPr>
      </w:pPr>
    </w:p>
    <w:p>
      <w:pPr>
        <w:ind w:right="400"/>
        <w:spacing w:after="0" w:line="238" w:lineRule="exact"/>
        <w:rPr>
          <w:sz w:val="20"/>
          <w:szCs w:val="20"/>
          <w:color w:val="auto"/>
        </w:rPr>
      </w:pPr>
      <w:r>
        <w:rPr>
          <w:rFonts w:ascii="Arial" w:cs="Arial" w:eastAsia="Arial" w:hAnsi="Arial"/>
          <w:sz w:val="15"/>
          <w:szCs w:val="15"/>
          <w:color w:val="231F20"/>
        </w:rPr>
        <w:t xml:space="preserve">At Mastech Digital, we believe companies with strong fundamentals, forward-leaning leadership, and the ability to quickly </w:t>
      </w:r>
      <w:r>
        <w:rPr>
          <w:rFonts w:ascii="Arial" w:cs="Arial" w:eastAsia="Arial" w:hAnsi="Arial"/>
          <w:sz w:val="15"/>
          <w:szCs w:val="15"/>
          <w:color w:val="231F20"/>
        </w:rPr>
        <w:t>Ï§ëÄÜŁÜÄì~Ò</w:t>
      </w:r>
      <w:r>
        <w:rPr>
          <w:rFonts w:ascii="PMingLiU" w:cs="PMingLiU" w:eastAsia="PMingLiU" w:hAnsi="PMingLiU"/>
          <w:sz w:val="15"/>
          <w:szCs w:val="15"/>
          <w:color w:val="231F20"/>
        </w:rPr>
        <w:t></w:t>
      </w:r>
      <w:r>
        <w:rPr>
          <w:rFonts w:ascii="Arial" w:cs="Arial" w:eastAsia="Arial" w:hAnsi="Arial"/>
          <w:sz w:val="15"/>
          <w:szCs w:val="15"/>
          <w:color w:val="231F20"/>
        </w:rPr>
        <w:t>ŁÜ¥</w:t>
      </w:r>
      <w:r>
        <w:rPr>
          <w:rFonts w:ascii="PMingLiU" w:cs="PMingLiU" w:eastAsia="PMingLiU" w:hAnsi="PMingLiU"/>
          <w:sz w:val="15"/>
          <w:szCs w:val="15"/>
          <w:color w:val="231F20"/>
        </w:rPr>
        <w:t></w:t>
      </w:r>
      <w:r>
        <w:rPr>
          <w:rFonts w:ascii="Arial" w:cs="Arial" w:eastAsia="Arial" w:hAnsi="Arial"/>
          <w:sz w:val="15"/>
          <w:szCs w:val="15"/>
          <w:color w:val="231F20"/>
        </w:rPr>
        <w:t>Ł¾</w:t>
      </w:r>
      <w:r>
        <w:rPr>
          <w:rFonts w:ascii="PMingLiU" w:cs="PMingLiU" w:eastAsia="PMingLiU" w:hAnsi="PMingLiU"/>
          <w:sz w:val="15"/>
          <w:szCs w:val="15"/>
          <w:color w:val="231F20"/>
        </w:rPr>
        <w:t></w:t>
      </w:r>
      <w:r>
        <w:rPr>
          <w:rFonts w:ascii="Arial" w:cs="Arial" w:eastAsia="Arial" w:hAnsi="Arial"/>
          <w:sz w:val="15"/>
          <w:szCs w:val="15"/>
          <w:color w:val="231F20"/>
        </w:rPr>
        <w:t>ìŁì§··Ł</w:t>
      </w:r>
      <w:r>
        <w:rPr>
          <w:rFonts w:ascii="PMingLiU" w:cs="PMingLiU" w:eastAsia="PMingLiU" w:hAnsi="PMingLiU"/>
          <w:sz w:val="15"/>
          <w:szCs w:val="15"/>
          <w:color w:val="231F20"/>
        </w:rPr>
        <w:t></w:t>
      </w:r>
      <w:r>
        <w:rPr>
          <w:rFonts w:ascii="Arial" w:cs="Arial" w:eastAsia="Arial" w:hAnsi="Arial"/>
          <w:sz w:val="15"/>
          <w:szCs w:val="15"/>
          <w:color w:val="231F20"/>
        </w:rPr>
        <w:t>ŁÜ¥</w:t>
      </w:r>
      <w:r>
        <w:rPr>
          <w:rFonts w:ascii="PMingLiU" w:cs="PMingLiU" w:eastAsia="PMingLiU" w:hAnsi="PMingLiU"/>
          <w:sz w:val="15"/>
          <w:szCs w:val="15"/>
          <w:color w:val="231F20"/>
        </w:rPr>
        <w:t></w:t>
      </w:r>
      <w:r>
        <w:rPr>
          <w:rFonts w:ascii="Arial" w:cs="Arial" w:eastAsia="Arial" w:hAnsi="Arial"/>
          <w:sz w:val="15"/>
          <w:szCs w:val="15"/>
          <w:color w:val="231F20"/>
        </w:rPr>
        <w:t>ŁÄ¾</w:t>
      </w:r>
      <w:r>
        <w:rPr>
          <w:rFonts w:ascii="PMingLiU" w:cs="PMingLiU" w:eastAsia="PMingLiU" w:hAnsi="PMingLiU"/>
          <w:sz w:val="15"/>
          <w:szCs w:val="15"/>
          <w:color w:val="231F20"/>
        </w:rPr>
        <w:t></w:t>
      </w:r>
      <w:r>
        <w:rPr>
          <w:rFonts w:ascii="Arial" w:cs="Arial" w:eastAsia="Arial" w:hAnsi="Arial"/>
          <w:sz w:val="15"/>
          <w:szCs w:val="15"/>
          <w:color w:val="231F20"/>
        </w:rPr>
        <w:t>ÖŁÜ¥~ÜŁ</w:t>
      </w:r>
      <w:r>
        <w:rPr>
          <w:rFonts w:ascii="PMingLiU" w:cs="PMingLiU" w:eastAsia="PMingLiU" w:hAnsi="PMingLiU"/>
          <w:sz w:val="15"/>
          <w:szCs w:val="15"/>
          <w:color w:val="231F20"/>
        </w:rPr>
        <w:t></w:t>
      </w:r>
      <w:r>
        <w:rPr>
          <w:rFonts w:ascii="Arial" w:cs="Arial" w:eastAsia="Arial" w:hAnsi="Arial"/>
          <w:sz w:val="15"/>
          <w:szCs w:val="15"/>
          <w:color w:val="231F20"/>
        </w:rPr>
        <w:t>à§·</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àÒ~</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Ä½Ï</w:t>
      </w:r>
      <w:r>
        <w:rPr>
          <w:rFonts w:ascii="PMingLiU" w:cs="PMingLiU" w:eastAsia="PMingLiU" w:hAnsi="PMingLiU"/>
          <w:sz w:val="15"/>
          <w:szCs w:val="15"/>
          <w:color w:val="231F20"/>
        </w:rPr>
        <w:t></w:t>
      </w:r>
      <w:r>
        <w:rPr>
          <w:rFonts w:ascii="Arial" w:cs="Arial" w:eastAsia="Arial" w:hAnsi="Arial"/>
          <w:sz w:val="15"/>
          <w:szCs w:val="15"/>
          <w:color w:val="231F20"/>
        </w:rPr>
        <w:t>Ü§Ü§ë</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ë~¾Ü~¡</w:t>
      </w:r>
      <w:r>
        <w:rPr>
          <w:rFonts w:ascii="PMingLiU" w:cs="PMingLiU" w:eastAsia="PMingLiU" w:hAnsi="PMingLiU"/>
          <w:sz w:val="15"/>
          <w:szCs w:val="15"/>
          <w:color w:val="231F20"/>
        </w:rPr>
        <w:t></w:t>
      </w:r>
      <w:r>
        <w:rPr>
          <w:rFonts w:ascii="Arial" w:cs="Arial" w:eastAsia="Arial" w:hAnsi="Arial"/>
          <w:sz w:val="15"/>
          <w:szCs w:val="15"/>
          <w:color w:val="231F20"/>
        </w:rPr>
        <w:t>ÖŁ§¾ŁÜ¥§ÖŁ</w:t>
      </w:r>
      <w:r>
        <w:rPr>
          <w:rFonts w:ascii="PMingLiU" w:cs="PMingLiU" w:eastAsia="PMingLiU" w:hAnsi="PMingLiU"/>
          <w:sz w:val="15"/>
          <w:szCs w:val="15"/>
          <w:color w:val="231F20"/>
        </w:rPr>
        <w:t></w:t>
      </w:r>
      <w:r>
        <w:rPr>
          <w:rFonts w:ascii="Arial" w:cs="Arial" w:eastAsia="Arial" w:hAnsi="Arial"/>
          <w:sz w:val="15"/>
          <w:szCs w:val="15"/>
          <w:color w:val="231F20"/>
        </w:rPr>
        <w:t>¾ë§ÒÄ¾½</w:t>
      </w:r>
      <w:r>
        <w:rPr>
          <w:rFonts w:ascii="PMingLiU" w:cs="PMingLiU" w:eastAsia="PMingLiU" w:hAnsi="PMingLiU"/>
          <w:sz w:val="15"/>
          <w:szCs w:val="15"/>
          <w:color w:val="231F20"/>
        </w:rPr>
        <w:t></w:t>
      </w:r>
      <w:r>
        <w:rPr>
          <w:rFonts w:ascii="Arial" w:cs="Arial" w:eastAsia="Arial" w:hAnsi="Arial"/>
          <w:sz w:val="15"/>
          <w:szCs w:val="15"/>
          <w:color w:val="231F20"/>
        </w:rPr>
        <w:t>¾ÜńŁm</w:t>
      </w:r>
      <w:r>
        <w:rPr>
          <w:rFonts w:ascii="PMingLiU" w:cs="PMingLiU" w:eastAsia="PMingLiU" w:hAnsi="PMingLiU"/>
          <w:sz w:val="15"/>
          <w:szCs w:val="15"/>
          <w:color w:val="231F20"/>
        </w:rPr>
        <w:t></w:t>
      </w:r>
      <w:r>
        <w:rPr>
          <w:rFonts w:ascii="Arial" w:cs="Arial" w:eastAsia="Arial" w:hAnsi="Arial"/>
          <w:sz w:val="15"/>
          <w:szCs w:val="15"/>
          <w:color w:val="231F20"/>
        </w:rPr>
        <w:t>Ł§¾Ü</w:t>
      </w:r>
      <w:r>
        <w:rPr>
          <w:rFonts w:ascii="PMingLiU" w:cs="PMingLiU" w:eastAsia="PMingLiU" w:hAnsi="PMingLiU"/>
          <w:sz w:val="15"/>
          <w:szCs w:val="15"/>
          <w:color w:val="231F20"/>
        </w:rPr>
        <w:t></w:t>
      </w:r>
      <w:r>
        <w:rPr>
          <w:rFonts w:ascii="Arial" w:cs="Arial" w:eastAsia="Arial" w:hAnsi="Arial"/>
          <w:sz w:val="15"/>
          <w:szCs w:val="15"/>
          <w:color w:val="231F20"/>
        </w:rPr>
        <w:t>¾</w:t>
      </w:r>
      <w:r>
        <w:rPr>
          <w:rFonts w:ascii="PMingLiU" w:cs="PMingLiU" w:eastAsia="PMingLiU" w:hAnsi="PMingLiU"/>
          <w:sz w:val="15"/>
          <w:szCs w:val="15"/>
          <w:color w:val="231F20"/>
        </w:rPr>
        <w:t></w:t>
      </w:r>
      <w:r>
        <w:rPr>
          <w:rFonts w:ascii="Arial" w:cs="Arial" w:eastAsia="Arial" w:hAnsi="Arial"/>
          <w:sz w:val="15"/>
          <w:szCs w:val="15"/>
          <w:color w:val="231F20"/>
        </w:rPr>
        <w:t>ŁÜÄŁ</w:t>
      </w:r>
      <w:r>
        <w:rPr>
          <w:rFonts w:ascii="PMingLiU" w:cs="PMingLiU" w:eastAsia="PMingLiU" w:hAnsi="PMingLiU"/>
          <w:sz w:val="15"/>
          <w:szCs w:val="15"/>
          <w:color w:val="231F20"/>
        </w:rPr>
        <w:t></w:t>
      </w:r>
      <w:r>
        <w:rPr>
          <w:rFonts w:ascii="Arial" w:cs="Arial" w:eastAsia="Arial" w:hAnsi="Arial"/>
          <w:sz w:val="15"/>
          <w:szCs w:val="15"/>
          <w:color w:val="231F20"/>
        </w:rPr>
        <w:t>ŁÄ¾</w:t>
      </w:r>
      <w:r>
        <w:rPr>
          <w:rFonts w:ascii="PMingLiU" w:cs="PMingLiU" w:eastAsia="PMingLiU" w:hAnsi="PMingLiU"/>
          <w:sz w:val="15"/>
          <w:szCs w:val="15"/>
          <w:color w:val="231F20"/>
        </w:rPr>
        <w:t></w:t>
      </w:r>
      <w:r>
        <w:rPr>
          <w:rFonts w:ascii="Arial" w:cs="Arial" w:eastAsia="Arial" w:hAnsi="Arial"/>
          <w:sz w:val="15"/>
          <w:szCs w:val="15"/>
          <w:color w:val="231F20"/>
        </w:rPr>
        <w:t xml:space="preserve">ŁÄ Ł </w:t>
      </w:r>
      <w:r>
        <w:rPr>
          <w:rFonts w:ascii="Arial" w:cs="Arial" w:eastAsia="Arial" w:hAnsi="Arial"/>
          <w:sz w:val="15"/>
          <w:szCs w:val="15"/>
          <w:color w:val="231F20"/>
        </w:rPr>
        <w:t>those companies.</w:t>
      </w:r>
    </w:p>
    <w:p>
      <w:pPr>
        <w:spacing w:after="0" w:line="249" w:lineRule="exact"/>
        <w:rPr>
          <w:sz w:val="20"/>
          <w:szCs w:val="20"/>
          <w:color w:val="auto"/>
        </w:rPr>
      </w:pPr>
    </w:p>
    <w:p>
      <w:pPr>
        <w:ind w:right="320"/>
        <w:spacing w:after="0" w:line="238" w:lineRule="exact"/>
        <w:rPr>
          <w:sz w:val="20"/>
          <w:szCs w:val="20"/>
          <w:color w:val="auto"/>
        </w:rPr>
      </w:pPr>
      <w:r>
        <w:rPr>
          <w:rFonts w:ascii="Arial" w:cs="Arial" w:eastAsia="Arial" w:hAnsi="Arial"/>
          <w:sz w:val="15"/>
          <w:szCs w:val="15"/>
          <w:color w:val="231F20"/>
        </w:rPr>
        <w:t>]ÄŁÜ¥~ÜŁ</w:t>
      </w:r>
      <w:r>
        <w:rPr>
          <w:rFonts w:ascii="PMingLiU" w:cs="PMingLiU" w:eastAsia="PMingLiU" w:hAnsi="PMingLiU"/>
          <w:sz w:val="15"/>
          <w:szCs w:val="15"/>
          <w:color w:val="231F20"/>
        </w:rPr>
        <w:t></w:t>
      </w:r>
      <w:r>
        <w:rPr>
          <w:rFonts w:ascii="Arial" w:cs="Arial" w:eastAsia="Arial" w:hAnsi="Arial"/>
          <w:sz w:val="15"/>
          <w:szCs w:val="15"/>
          <w:color w:val="231F20"/>
        </w:rPr>
        <w:t>¾</w:t>
      </w:r>
      <w:r>
        <w:rPr>
          <w:rFonts w:ascii="PMingLiU" w:cs="PMingLiU" w:eastAsia="PMingLiU" w:hAnsi="PMingLiU"/>
          <w:sz w:val="15"/>
          <w:szCs w:val="15"/>
          <w:color w:val="231F20"/>
        </w:rPr>
        <w:t></w:t>
      </w:r>
      <w:r>
        <w:rPr>
          <w:rFonts w:ascii="Arial" w:cs="Arial" w:eastAsia="Arial" w:hAnsi="Arial"/>
          <w:sz w:val="15"/>
          <w:szCs w:val="15"/>
          <w:color w:val="231F20"/>
        </w:rPr>
        <w:t>ŅŁì</w:t>
      </w:r>
      <w:r>
        <w:rPr>
          <w:rFonts w:ascii="PMingLiU" w:cs="PMingLiU" w:eastAsia="PMingLiU" w:hAnsi="PMingLiU"/>
          <w:sz w:val="15"/>
          <w:szCs w:val="15"/>
          <w:color w:val="231F20"/>
        </w:rPr>
        <w:t></w:t>
      </w:r>
      <w:r>
        <w:rPr>
          <w:rFonts w:ascii="Arial" w:cs="Arial" w:eastAsia="Arial" w:hAnsi="Arial"/>
          <w:sz w:val="15"/>
          <w:szCs w:val="15"/>
          <w:color w:val="231F20"/>
        </w:rPr>
        <w:t>Ł½~</w:t>
      </w:r>
      <w:r>
        <w:rPr>
          <w:rFonts w:ascii="PMingLiU" w:cs="PMingLiU" w:eastAsia="PMingLiU" w:hAnsi="PMingLiU"/>
          <w:sz w:val="15"/>
          <w:szCs w:val="15"/>
          <w:color w:val="231F20"/>
        </w:rPr>
        <w:t></w:t>
      </w:r>
      <w:r>
        <w:rPr>
          <w:rFonts w:ascii="Arial" w:cs="Arial" w:eastAsia="Arial" w:hAnsi="Arial"/>
          <w:sz w:val="15"/>
          <w:szCs w:val="15"/>
          <w:color w:val="231F20"/>
        </w:rPr>
        <w:t>Ł Äà¾</w:t>
      </w:r>
      <w:r>
        <w:rPr>
          <w:rFonts w:ascii="PMingLiU" w:cs="PMingLiU" w:eastAsia="PMingLiU" w:hAnsi="PMingLiU"/>
          <w:sz w:val="15"/>
          <w:szCs w:val="15"/>
          <w:color w:val="231F20"/>
        </w:rPr>
        <w:t></w:t>
      </w:r>
      <w:r>
        <w:rPr>
          <w:rFonts w:ascii="Arial" w:cs="Arial" w:eastAsia="Arial" w:hAnsi="Arial"/>
          <w:sz w:val="15"/>
          <w:szCs w:val="15"/>
          <w:color w:val="231F20"/>
        </w:rPr>
        <w:t>~Ü§Ä¾~·Ł§¾ë</w:t>
      </w:r>
      <w:r>
        <w:rPr>
          <w:rFonts w:ascii="PMingLiU" w:cs="PMingLiU" w:eastAsia="PMingLiU" w:hAnsi="PMingLiU"/>
          <w:sz w:val="15"/>
          <w:szCs w:val="15"/>
          <w:color w:val="231F20"/>
        </w:rPr>
        <w:t></w:t>
      </w:r>
      <w:r>
        <w:rPr>
          <w:rFonts w:ascii="Arial" w:cs="Arial" w:eastAsia="Arial" w:hAnsi="Arial"/>
          <w:sz w:val="15"/>
          <w:szCs w:val="15"/>
          <w:color w:val="231F20"/>
        </w:rPr>
        <w:t>ÖÜ½</w:t>
      </w:r>
      <w:r>
        <w:rPr>
          <w:rFonts w:ascii="PMingLiU" w:cs="PMingLiU" w:eastAsia="PMingLiU" w:hAnsi="PMingLiU"/>
          <w:sz w:val="15"/>
          <w:szCs w:val="15"/>
          <w:color w:val="231F20"/>
        </w:rPr>
        <w:t></w:t>
      </w:r>
      <w:r>
        <w:rPr>
          <w:rFonts w:ascii="Arial" w:cs="Arial" w:eastAsia="Arial" w:hAnsi="Arial"/>
          <w:sz w:val="15"/>
          <w:szCs w:val="15"/>
          <w:color w:val="231F20"/>
        </w:rPr>
        <w:t>¾ÜÖŁ§¾ŁĤĢĤħŁÜ¥~ÜŁ~Ò</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Ö§¡¾</w:t>
      </w:r>
      <w:r>
        <w:rPr>
          <w:rFonts w:ascii="PMingLiU" w:cs="PMingLiU" w:eastAsia="PMingLiU" w:hAnsi="PMingLiU"/>
          <w:sz w:val="15"/>
          <w:szCs w:val="15"/>
          <w:color w:val="231F20"/>
        </w:rPr>
        <w:t></w:t>
      </w:r>
      <w:r>
        <w:rPr>
          <w:rFonts w:ascii="Arial" w:cs="Arial" w:eastAsia="Arial" w:hAnsi="Arial"/>
          <w:sz w:val="15"/>
          <w:szCs w:val="15"/>
          <w:color w:val="231F20"/>
        </w:rPr>
        <w:t>ŁÜÄŁÏÄì</w:t>
      </w:r>
      <w:r>
        <w:rPr>
          <w:rFonts w:ascii="PMingLiU" w:cs="PMingLiU" w:eastAsia="PMingLiU" w:hAnsi="PMingLiU"/>
          <w:sz w:val="15"/>
          <w:szCs w:val="15"/>
          <w:color w:val="231F20"/>
        </w:rPr>
        <w:t></w:t>
      </w:r>
      <w:r>
        <w:rPr>
          <w:rFonts w:ascii="Arial" w:cs="Arial" w:eastAsia="Arial" w:hAnsi="Arial"/>
          <w:sz w:val="15"/>
          <w:szCs w:val="15"/>
          <w:color w:val="231F20"/>
        </w:rPr>
        <w:t>ÒŁÄàÒŁ</w:t>
      </w:r>
      <w:r>
        <w:rPr>
          <w:rFonts w:ascii="PMingLiU" w:cs="PMingLiU" w:eastAsia="PMingLiU" w:hAnsi="PMingLiU"/>
          <w:sz w:val="15"/>
          <w:szCs w:val="15"/>
          <w:color w:val="231F20"/>
        </w:rPr>
        <w:t/>
      </w:r>
      <w:r>
        <w:rPr>
          <w:rFonts w:ascii="Arial" w:cs="Arial" w:eastAsia="Arial" w:hAnsi="Arial"/>
          <w:sz w:val="15"/>
          <w:szCs w:val="15"/>
          <w:color w:val="231F20"/>
        </w:rPr>
        <w:t>*ŕĝÒÖÜŁÏÄÖ§Ü§Ä¾§¾¡ńŁm</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ñÏ~¾</w:t>
      </w:r>
      <w:r>
        <w:rPr>
          <w:rFonts w:ascii="PMingLiU" w:cs="PMingLiU" w:eastAsia="PMingLiU" w:hAnsi="PMingLiU"/>
          <w:sz w:val="15"/>
          <w:szCs w:val="15"/>
          <w:color w:val="231F20"/>
        </w:rPr>
        <w:t></w:t>
      </w:r>
      <w:r>
        <w:rPr>
          <w:rFonts w:ascii="Arial" w:cs="Arial" w:eastAsia="Arial" w:hAnsi="Arial"/>
          <w:sz w:val="15"/>
          <w:szCs w:val="15"/>
          <w:color w:val="231F20"/>
        </w:rPr>
        <w:t xml:space="preserve">ŁÄàÒŁ </w:t>
      </w:r>
      <w:r>
        <w:rPr>
          <w:rFonts w:ascii="PMingLiU" w:cs="PMingLiU" w:eastAsia="PMingLiU" w:hAnsi="PMingLiU"/>
          <w:sz w:val="15"/>
          <w:szCs w:val="15"/>
          <w:color w:val="231F20"/>
        </w:rPr>
        <w:t/>
      </w:r>
      <w:r>
        <w:rPr>
          <w:rFonts w:ascii="Arial" w:cs="Arial" w:eastAsia="Arial" w:hAnsi="Arial"/>
          <w:sz w:val="15"/>
          <w:szCs w:val="15"/>
          <w:color w:val="231F20"/>
        </w:rPr>
        <w:t>~Ü~ŁP·~Ü ÄÒ½Ł</w:t>
      </w:r>
      <w:r>
        <w:rPr>
          <w:rFonts w:ascii="PMingLiU" w:cs="PMingLiU" w:eastAsia="PMingLiU" w:hAnsi="PMingLiU"/>
          <w:sz w:val="15"/>
          <w:szCs w:val="15"/>
          <w:color w:val="231F20"/>
        </w:rPr>
        <w:t></w:t>
      </w:r>
      <w:r>
        <w:rPr>
          <w:rFonts w:ascii="Arial" w:cs="Arial" w:eastAsia="Arial" w:hAnsi="Arial"/>
          <w:sz w:val="15"/>
          <w:szCs w:val="15"/>
          <w:color w:val="231F20"/>
        </w:rPr>
        <w:t>~Ï~</w:t>
      </w:r>
      <w:r>
        <w:rPr>
          <w:rFonts w:ascii="PMingLiU" w:cs="PMingLiU" w:eastAsia="PMingLiU" w:hAnsi="PMingLiU"/>
          <w:sz w:val="15"/>
          <w:szCs w:val="15"/>
          <w:color w:val="231F20"/>
        </w:rPr>
        <w:t></w:t>
      </w: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ÖŅŁ</w:t>
      </w:r>
      <w:r>
        <w:rPr>
          <w:rFonts w:ascii="PMingLiU" w:cs="PMingLiU" w:eastAsia="PMingLiU" w:hAnsi="PMingLiU"/>
          <w:sz w:val="15"/>
          <w:szCs w:val="15"/>
          <w:color w:val="231F20"/>
        </w:rPr>
        <w:t></w:t>
      </w:r>
      <w:r>
        <w:rPr>
          <w:rFonts w:ascii="Arial" w:cs="Arial" w:eastAsia="Arial" w:hAnsi="Arial"/>
          <w:sz w:val="15"/>
          <w:szCs w:val="15"/>
          <w:color w:val="231F20"/>
        </w:rPr>
        <w:t>Ï</w:t>
      </w:r>
      <w:r>
        <w:rPr>
          <w:rFonts w:ascii="PMingLiU" w:cs="PMingLiU" w:eastAsia="PMingLiU" w:hAnsi="PMingLiU"/>
          <w:sz w:val="15"/>
          <w:szCs w:val="15"/>
          <w:color w:val="231F20"/>
        </w:rPr>
        <w:t></w:t>
      </w:r>
      <w:r>
        <w:rPr>
          <w:rFonts w:ascii="Arial" w:cs="Arial" w:eastAsia="Arial" w:hAnsi="Arial"/>
          <w:sz w:val="15"/>
          <w:szCs w:val="15"/>
          <w:color w:val="231F20"/>
        </w:rPr>
        <w:t>¾§¾¡ŁÄàÒŁÏ~ÒÜ¾</w:t>
      </w:r>
      <w:r>
        <w:rPr>
          <w:rFonts w:ascii="PMingLiU" w:cs="PMingLiU" w:eastAsia="PMingLiU" w:hAnsi="PMingLiU"/>
          <w:sz w:val="15"/>
          <w:szCs w:val="15"/>
          <w:color w:val="231F20"/>
        </w:rPr>
        <w:t></w:t>
      </w:r>
      <w:r>
        <w:rPr>
          <w:rFonts w:ascii="Arial" w:cs="Arial" w:eastAsia="Arial" w:hAnsi="Arial"/>
          <w:sz w:val="15"/>
          <w:szCs w:val="15"/>
          <w:color w:val="231F20"/>
        </w:rPr>
        <w:t>ÒÖ¥§ÏÖŁì§Ü¥Ł$ÄÄ¡·</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
      </w:r>
      <w:r>
        <w:rPr>
          <w:rFonts w:ascii="Arial" w:cs="Arial" w:eastAsia="Arial" w:hAnsi="Arial"/>
          <w:sz w:val="15"/>
          <w:szCs w:val="15"/>
          <w:color w:val="231F20"/>
        </w:rPr>
        <w:t>·Äà</w:t>
      </w:r>
      <w:r>
        <w:rPr>
          <w:rFonts w:ascii="PMingLiU" w:cs="PMingLiU" w:eastAsia="PMingLiU" w:hAnsi="PMingLiU"/>
          <w:sz w:val="15"/>
          <w:szCs w:val="15"/>
          <w:color w:val="231F20"/>
        </w:rPr>
        <w:t></w:t>
      </w:r>
      <w:r>
        <w:rPr>
          <w:rFonts w:ascii="Arial" w:cs="Arial" w:eastAsia="Arial" w:hAnsi="Arial"/>
          <w:sz w:val="15"/>
          <w:szCs w:val="15"/>
          <w:color w:val="231F20"/>
        </w:rPr>
        <w:t>ŁP·~Ü ÄÒ½Ł~¾</w:t>
      </w:r>
      <w:r>
        <w:rPr>
          <w:rFonts w:ascii="PMingLiU" w:cs="PMingLiU" w:eastAsia="PMingLiU" w:hAnsi="PMingLiU"/>
          <w:sz w:val="15"/>
          <w:szCs w:val="15"/>
          <w:color w:val="231F20"/>
        </w:rPr>
        <w:t></w:t>
      </w:r>
      <w:r>
        <w:rPr>
          <w:rFonts w:ascii="Arial" w:cs="Arial" w:eastAsia="Arial" w:hAnsi="Arial"/>
          <w:sz w:val="15"/>
          <w:szCs w:val="15"/>
          <w:color w:val="231F20"/>
        </w:rPr>
        <w:t>ŁW¾ÄìĞ~µ</w:t>
      </w:r>
      <w:r>
        <w:rPr>
          <w:rFonts w:ascii="PMingLiU" w:cs="PMingLiU" w:eastAsia="PMingLiU" w:hAnsi="PMingLiU"/>
          <w:sz w:val="15"/>
          <w:szCs w:val="15"/>
          <w:color w:val="231F20"/>
        </w:rPr>
        <w:t></w:t>
      </w:r>
      <w:r>
        <w:rPr>
          <w:rFonts w:ascii="Arial" w:cs="Arial" w:eastAsia="Arial" w:hAnsi="Arial"/>
          <w:sz w:val="15"/>
          <w:szCs w:val="15"/>
          <w:color w:val="231F20"/>
        </w:rPr>
        <w:t>ŅŁ~¾</w:t>
      </w:r>
      <w:r>
        <w:rPr>
          <w:rFonts w:ascii="PMingLiU" w:cs="PMingLiU" w:eastAsia="PMingLiU" w:hAnsi="PMingLiU"/>
          <w:sz w:val="15"/>
          <w:szCs w:val="15"/>
          <w:color w:val="231F20"/>
        </w:rPr>
        <w:t></w:t>
      </w:r>
      <w:r>
        <w:rPr>
          <w:rFonts w:ascii="Arial" w:cs="Arial" w:eastAsia="Arial" w:hAnsi="Arial"/>
          <w:sz w:val="15"/>
          <w:szCs w:val="15"/>
          <w:color w:val="231F20"/>
        </w:rPr>
        <w:t>Ł~¾¾Äà¾</w:t>
      </w:r>
      <w:r>
        <w:rPr>
          <w:rFonts w:ascii="PMingLiU" w:cs="PMingLiU" w:eastAsia="PMingLiU" w:hAnsi="PMingLiU"/>
          <w:sz w:val="15"/>
          <w:szCs w:val="15"/>
          <w:color w:val="231F20"/>
        </w:rPr>
        <w:t></w:t>
      </w:r>
      <w:r>
        <w:rPr>
          <w:rFonts w:ascii="Arial" w:cs="Arial" w:eastAsia="Arial" w:hAnsi="Arial"/>
          <w:sz w:val="15"/>
          <w:szCs w:val="15"/>
          <w:color w:val="231F20"/>
        </w:rPr>
        <w:t xml:space="preserve">§¾¡ŁÄàÒŁ </w:t>
      </w:r>
      <w:r>
        <w:rPr>
          <w:rFonts w:ascii="Arial" w:cs="Arial" w:eastAsia="Arial" w:hAnsi="Arial"/>
          <w:sz w:val="15"/>
          <w:szCs w:val="15"/>
          <w:color w:val="231F20"/>
        </w:rPr>
        <w:t>expanded relationship with Informatica. These partnerships are not merely vendor relationships – they are co-innovation commitments that extend our reach and accelerate our ability to deliver enterprise-grade Data and AI solutions.</w:t>
      </w:r>
    </w:p>
    <w:p>
      <w:pPr>
        <w:spacing w:after="0" w:line="249" w:lineRule="exact"/>
        <w:rPr>
          <w:sz w:val="20"/>
          <w:szCs w:val="20"/>
          <w:color w:val="auto"/>
        </w:rPr>
      </w:pPr>
    </w:p>
    <w:p>
      <w:pPr>
        <w:ind w:right="300"/>
        <w:spacing w:after="0" w:line="238" w:lineRule="exact"/>
        <w:rPr>
          <w:sz w:val="20"/>
          <w:szCs w:val="20"/>
          <w:color w:val="auto"/>
        </w:rPr>
      </w:pPr>
      <w:r>
        <w:rPr>
          <w:rFonts w:ascii="Arial" w:cs="Arial" w:eastAsia="Arial" w:hAnsi="Arial"/>
          <w:sz w:val="18"/>
          <w:szCs w:val="18"/>
          <w:color w:val="231F20"/>
        </w:rPr>
        <w:t>m</w:t>
      </w:r>
      <w:r>
        <w:rPr>
          <w:rFonts w:ascii="PMingLiU" w:cs="PMingLiU" w:eastAsia="PMingLiU" w:hAnsi="PMingLiU"/>
          <w:sz w:val="18"/>
          <w:szCs w:val="18"/>
          <w:color w:val="231F20"/>
        </w:rPr>
        <w:t></w:t>
      </w:r>
      <w:r>
        <w:rPr>
          <w:rFonts w:ascii="Arial" w:cs="Arial" w:eastAsia="Arial" w:hAnsi="Arial"/>
          <w:sz w:val="18"/>
          <w:szCs w:val="18"/>
          <w:color w:val="231F20"/>
        </w:rPr>
        <w:t>Ł~·ÖÄŁ</w:t>
      </w:r>
      <w:r>
        <w:rPr>
          <w:rFonts w:ascii="PMingLiU" w:cs="PMingLiU" w:eastAsia="PMingLiU" w:hAnsi="PMingLiU"/>
          <w:sz w:val="18"/>
          <w:szCs w:val="18"/>
          <w:color w:val="231F20"/>
        </w:rPr>
        <w:t></w:t>
      </w:r>
      <w:r>
        <w:rPr>
          <w:rFonts w:ascii="Arial" w:cs="Arial" w:eastAsia="Arial" w:hAnsi="Arial"/>
          <w:sz w:val="18"/>
          <w:szCs w:val="18"/>
          <w:color w:val="231F20"/>
        </w:rPr>
        <w:t>ÖÜ~</w:t>
      </w:r>
      <w:r>
        <w:rPr>
          <w:rFonts w:ascii="PMingLiU" w:cs="PMingLiU" w:eastAsia="PMingLiU" w:hAnsi="PMingLiU"/>
          <w:sz w:val="18"/>
          <w:szCs w:val="18"/>
          <w:color w:val="231F20"/>
        </w:rPr>
        <w:t></w:t>
      </w:r>
      <w:r>
        <w:rPr>
          <w:rFonts w:ascii="Arial" w:cs="Arial" w:eastAsia="Arial" w:hAnsi="Arial"/>
          <w:sz w:val="18"/>
          <w:szCs w:val="18"/>
          <w:color w:val="231F20"/>
        </w:rPr>
        <w:t>·§Ö¥</w:t>
      </w:r>
      <w:r>
        <w:rPr>
          <w:rFonts w:ascii="PMingLiU" w:cs="PMingLiU" w:eastAsia="PMingLiU" w:hAnsi="PMingLiU"/>
          <w:sz w:val="18"/>
          <w:szCs w:val="18"/>
          <w:color w:val="231F20"/>
        </w:rPr>
        <w:t></w:t>
      </w:r>
      <w:r>
        <w:rPr>
          <w:rFonts w:ascii="Arial" w:cs="Arial" w:eastAsia="Arial" w:hAnsi="Arial"/>
          <w:sz w:val="18"/>
          <w:szCs w:val="18"/>
          <w:color w:val="231F20"/>
        </w:rPr>
        <w:t>ŁÄàÒŁ*¾</w:t>
      </w:r>
      <w:r>
        <w:rPr>
          <w:rFonts w:ascii="PMingLiU" w:cs="PMingLiU" w:eastAsia="PMingLiU" w:hAnsi="PMingLiU"/>
          <w:sz w:val="18"/>
          <w:szCs w:val="18"/>
          <w:color w:val="231F20"/>
        </w:rPr>
        <w:t></w:t>
      </w:r>
      <w:r>
        <w:rPr>
          <w:rFonts w:ascii="Arial" w:cs="Arial" w:eastAsia="Arial" w:hAnsi="Arial"/>
          <w:sz w:val="18"/>
          <w:szCs w:val="18"/>
          <w:color w:val="231F20"/>
        </w:rPr>
        <w:t>àÖÜÒòŁWÄ·àÜ§Ä¾ÖŁÏÒ~</w:t>
      </w:r>
      <w:r>
        <w:rPr>
          <w:rFonts w:ascii="PMingLiU" w:cs="PMingLiU" w:eastAsia="PMingLiU" w:hAnsi="PMingLiU"/>
          <w:sz w:val="18"/>
          <w:szCs w:val="18"/>
          <w:color w:val="231F20"/>
        </w:rPr>
        <w:t></w:t>
      </w:r>
      <w:r>
        <w:rPr>
          <w:rFonts w:ascii="Arial" w:cs="Arial" w:eastAsia="Arial" w:hAnsi="Arial"/>
          <w:sz w:val="18"/>
          <w:szCs w:val="18"/>
          <w:color w:val="231F20"/>
        </w:rPr>
        <w:t>Ü§</w:t>
      </w:r>
      <w:r>
        <w:rPr>
          <w:rFonts w:ascii="PMingLiU" w:cs="PMingLiU" w:eastAsia="PMingLiU" w:hAnsi="PMingLiU"/>
          <w:sz w:val="18"/>
          <w:szCs w:val="18"/>
          <w:color w:val="231F20"/>
        </w:rPr>
        <w:t></w:t>
      </w:r>
      <w:r>
        <w:rPr>
          <w:rFonts w:ascii="Arial" w:cs="Arial" w:eastAsia="Arial" w:hAnsi="Arial"/>
          <w:sz w:val="18"/>
          <w:szCs w:val="18"/>
          <w:color w:val="231F20"/>
        </w:rPr>
        <w:t>ŅŁ Ä</w:t>
      </w:r>
      <w:r>
        <w:rPr>
          <w:rFonts w:ascii="PMingLiU" w:cs="PMingLiU" w:eastAsia="PMingLiU" w:hAnsi="PMingLiU"/>
          <w:sz w:val="18"/>
          <w:szCs w:val="18"/>
          <w:color w:val="231F20"/>
        </w:rPr>
        <w:t></w:t>
      </w:r>
      <w:r>
        <w:rPr>
          <w:rFonts w:ascii="Arial" w:cs="Arial" w:eastAsia="Arial" w:hAnsi="Arial"/>
          <w:sz w:val="18"/>
          <w:szCs w:val="18"/>
          <w:color w:val="231F20"/>
        </w:rPr>
        <w:t>àÖ</w:t>
      </w:r>
      <w:r>
        <w:rPr>
          <w:rFonts w:ascii="PMingLiU" w:cs="PMingLiU" w:eastAsia="PMingLiU" w:hAnsi="PMingLiU"/>
          <w:sz w:val="18"/>
          <w:szCs w:val="18"/>
          <w:color w:val="231F20"/>
        </w:rPr>
        <w:t></w:t>
      </w:r>
      <w:r>
        <w:rPr>
          <w:rFonts w:ascii="Arial" w:cs="Arial" w:eastAsia="Arial" w:hAnsi="Arial"/>
          <w:sz w:val="18"/>
          <w:szCs w:val="18"/>
          <w:color w:val="231F20"/>
        </w:rPr>
        <w:t>ŁÄ¾Ł</w:t>
      </w:r>
      <w:r>
        <w:rPr>
          <w:rFonts w:ascii="PMingLiU" w:cs="PMingLiU" w:eastAsia="PMingLiU" w:hAnsi="PMingLiU"/>
          <w:sz w:val="18"/>
          <w:szCs w:val="18"/>
          <w:color w:val="231F20"/>
        </w:rPr>
        <w:t></w:t>
      </w:r>
      <w:r>
        <w:rPr>
          <w:rFonts w:ascii="Arial" w:cs="Arial" w:eastAsia="Arial" w:hAnsi="Arial"/>
          <w:sz w:val="18"/>
          <w:szCs w:val="18"/>
          <w:color w:val="231F20"/>
        </w:rPr>
        <w:t>à§·</w:t>
      </w:r>
      <w:r>
        <w:rPr>
          <w:rFonts w:ascii="PMingLiU" w:cs="PMingLiU" w:eastAsia="PMingLiU" w:hAnsi="PMingLiU"/>
          <w:sz w:val="18"/>
          <w:szCs w:val="18"/>
          <w:color w:val="231F20"/>
        </w:rPr>
        <w:t></w:t>
      </w:r>
      <w:r>
        <w:rPr>
          <w:rFonts w:ascii="Arial" w:cs="Arial" w:eastAsia="Arial" w:hAnsi="Arial"/>
          <w:sz w:val="18"/>
          <w:szCs w:val="18"/>
          <w:color w:val="231F20"/>
        </w:rPr>
        <w:t>§¾¡Ł</w:t>
      </w:r>
      <w:r>
        <w:rPr>
          <w:rFonts w:ascii="PMingLiU" w:cs="PMingLiU" w:eastAsia="PMingLiU" w:hAnsi="PMingLiU"/>
          <w:sz w:val="18"/>
          <w:szCs w:val="18"/>
          <w:color w:val="231F20"/>
        </w:rPr>
        <w:t/>
      </w:r>
      <w:r>
        <w:rPr>
          <w:rFonts w:ascii="Arial" w:cs="Arial" w:eastAsia="Arial" w:hAnsi="Arial"/>
          <w:sz w:val="18"/>
          <w:szCs w:val="18"/>
          <w:color w:val="231F20"/>
        </w:rPr>
        <w:t>*ŕÏÄì</w:t>
      </w:r>
      <w:r>
        <w:rPr>
          <w:rFonts w:ascii="PMingLiU" w:cs="PMingLiU" w:eastAsia="PMingLiU" w:hAnsi="PMingLiU"/>
          <w:sz w:val="18"/>
          <w:szCs w:val="18"/>
          <w:color w:val="231F20"/>
        </w:rPr>
        <w:t></w:t>
      </w:r>
      <w:r>
        <w:rPr>
          <w:rFonts w:ascii="Arial" w:cs="Arial" w:eastAsia="Arial" w:hAnsi="Arial"/>
          <w:sz w:val="18"/>
          <w:szCs w:val="18"/>
          <w:color w:val="231F20"/>
        </w:rPr>
        <w:t>Ò</w:t>
      </w:r>
      <w:r>
        <w:rPr>
          <w:rFonts w:ascii="PMingLiU" w:cs="PMingLiU" w:eastAsia="PMingLiU" w:hAnsi="PMingLiU"/>
          <w:sz w:val="18"/>
          <w:szCs w:val="18"/>
          <w:color w:val="231F20"/>
        </w:rPr>
        <w:t></w:t>
      </w:r>
      <w:r>
        <w:rPr>
          <w:rFonts w:ascii="Arial" w:cs="Arial" w:eastAsia="Arial" w:hAnsi="Arial"/>
          <w:sz w:val="18"/>
          <w:szCs w:val="18"/>
          <w:color w:val="231F20"/>
        </w:rPr>
        <w:t>ŅŁ§¾</w:t>
      </w:r>
      <w:r>
        <w:rPr>
          <w:rFonts w:ascii="PMingLiU" w:cs="PMingLiU" w:eastAsia="PMingLiU" w:hAnsi="PMingLiU"/>
          <w:sz w:val="18"/>
          <w:szCs w:val="18"/>
          <w:color w:val="231F20"/>
        </w:rPr>
        <w:t></w:t>
      </w:r>
      <w:r>
        <w:rPr>
          <w:rFonts w:ascii="Arial" w:cs="Arial" w:eastAsia="Arial" w:hAnsi="Arial"/>
          <w:sz w:val="18"/>
          <w:szCs w:val="18"/>
          <w:color w:val="231F20"/>
        </w:rPr>
        <w:t>àÖÜÒòŕ·</w:t>
      </w:r>
      <w:r>
        <w:rPr>
          <w:rFonts w:ascii="PMingLiU" w:cs="PMingLiU" w:eastAsia="PMingLiU" w:hAnsi="PMingLiU"/>
          <w:sz w:val="18"/>
          <w:szCs w:val="18"/>
          <w:color w:val="231F20"/>
        </w:rPr>
        <w:t></w:t>
      </w:r>
      <w:r>
        <w:rPr>
          <w:rFonts w:ascii="Arial" w:cs="Arial" w:eastAsia="Arial" w:hAnsi="Arial"/>
          <w:sz w:val="18"/>
          <w:szCs w:val="18"/>
          <w:color w:val="231F20"/>
        </w:rPr>
        <w:t>ŁìÄÒµĞÄìÖŁÜ¥~ÜŁ¥</w:t>
      </w:r>
      <w:r>
        <w:rPr>
          <w:rFonts w:ascii="PMingLiU" w:cs="PMingLiU" w:eastAsia="PMingLiU" w:hAnsi="PMingLiU"/>
          <w:sz w:val="18"/>
          <w:szCs w:val="18"/>
          <w:color w:val="231F20"/>
        </w:rPr>
        <w:t></w:t>
      </w:r>
      <w:r>
        <w:rPr>
          <w:rFonts w:ascii="Arial" w:cs="Arial" w:eastAsia="Arial" w:hAnsi="Arial"/>
          <w:sz w:val="18"/>
          <w:szCs w:val="18"/>
          <w:color w:val="231F20"/>
        </w:rPr>
        <w:t>·ÏŁ</w:t>
      </w:r>
      <w:r>
        <w:rPr>
          <w:rFonts w:ascii="PMingLiU" w:cs="PMingLiU" w:eastAsia="PMingLiU" w:hAnsi="PMingLiU"/>
          <w:sz w:val="18"/>
          <w:szCs w:val="18"/>
          <w:color w:val="231F20"/>
        </w:rPr>
        <w:t></w:t>
      </w:r>
      <w:r>
        <w:rPr>
          <w:rFonts w:ascii="Arial" w:cs="Arial" w:eastAsia="Arial" w:hAnsi="Arial"/>
          <w:sz w:val="18"/>
          <w:szCs w:val="18"/>
          <w:color w:val="231F20"/>
        </w:rPr>
        <w:t>·§</w:t>
      </w:r>
      <w:r>
        <w:rPr>
          <w:rFonts w:ascii="PMingLiU" w:cs="PMingLiU" w:eastAsia="PMingLiU" w:hAnsi="PMingLiU"/>
          <w:sz w:val="18"/>
          <w:szCs w:val="18"/>
          <w:color w:val="231F20"/>
        </w:rPr>
        <w:t></w:t>
      </w:r>
      <w:r>
        <w:rPr>
          <w:rFonts w:ascii="Arial" w:cs="Arial" w:eastAsia="Arial" w:hAnsi="Arial"/>
          <w:sz w:val="18"/>
          <w:szCs w:val="18"/>
          <w:color w:val="231F20"/>
        </w:rPr>
        <w:t xml:space="preserve">¾ÜÖŁ </w:t>
      </w:r>
      <w:r>
        <w:rPr>
          <w:rFonts w:ascii="Arial" w:cs="Arial" w:eastAsia="Arial" w:hAnsi="Arial"/>
          <w:sz w:val="18"/>
          <w:szCs w:val="18"/>
          <w:color w:val="231F20"/>
        </w:rPr>
        <w:t>reimagine themselves for the AI era – whether they are accelerating with AI, transforming with AI, or reimagining their operating model entirely through AI. This practice represents an important evolution in how we go to market: moving from horizontal technology capability to vertical industry impact.</w:t>
      </w:r>
    </w:p>
    <w:p>
      <w:pPr>
        <w:spacing w:after="0" w:line="243" w:lineRule="exact"/>
        <w:rPr>
          <w:sz w:val="20"/>
          <w:szCs w:val="20"/>
          <w:color w:val="auto"/>
        </w:rPr>
      </w:pPr>
    </w:p>
    <w:p>
      <w:pPr>
        <w:spacing w:after="0"/>
        <w:rPr>
          <w:sz w:val="20"/>
          <w:szCs w:val="20"/>
          <w:color w:val="auto"/>
        </w:rPr>
      </w:pPr>
      <w:r>
        <w:rPr>
          <w:rFonts w:ascii="Arial" w:cs="Arial" w:eastAsia="Arial" w:hAnsi="Arial"/>
          <w:sz w:val="26"/>
          <w:szCs w:val="26"/>
          <w:b w:val="1"/>
          <w:bCs w:val="1"/>
          <w:color w:val="10568C"/>
        </w:rPr>
        <w:t>Our Path Forward: 2026 as a Year of Execution</w:t>
      </w:r>
    </w:p>
    <w:p>
      <w:pPr>
        <w:spacing w:after="0" w:line="140" w:lineRule="exact"/>
        <w:rPr>
          <w:sz w:val="20"/>
          <w:szCs w:val="20"/>
          <w:color w:val="auto"/>
        </w:rPr>
      </w:pPr>
    </w:p>
    <w:p>
      <w:pPr>
        <w:ind w:right="320"/>
        <w:spacing w:after="0" w:line="298"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ÖŁì</w:t>
      </w:r>
      <w:r>
        <w:rPr>
          <w:rFonts w:ascii="PMingLiU" w:cs="PMingLiU" w:eastAsia="PMingLiU" w:hAnsi="PMingLiU"/>
          <w:sz w:val="14"/>
          <w:szCs w:val="14"/>
          <w:color w:val="231F20"/>
        </w:rPr>
        <w:t></w:t>
      </w:r>
      <w:r>
        <w:rPr>
          <w:rFonts w:ascii="Arial" w:cs="Arial" w:eastAsia="Arial" w:hAnsi="Arial"/>
          <w:sz w:val="14"/>
          <w:szCs w:val="14"/>
          <w:color w:val="231F20"/>
        </w:rPr>
        <w:t>Ł·ÄÄµŁ~¥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ŁÜÄŁĤĢĤĨŅŁÄàÒŁÏÒ§ÄÒ§Ü§</w:t>
      </w:r>
      <w:r>
        <w:rPr>
          <w:rFonts w:ascii="PMingLiU" w:cs="PMingLiU" w:eastAsia="PMingLiU" w:hAnsi="PMingLiU"/>
          <w:sz w:val="14"/>
          <w:szCs w:val="14"/>
          <w:color w:val="231F20"/>
        </w:rPr>
        <w:t></w:t>
      </w:r>
      <w:r>
        <w:rPr>
          <w:rFonts w:ascii="Arial" w:cs="Arial" w:eastAsia="Arial" w:hAnsi="Arial"/>
          <w:sz w:val="14"/>
          <w:szCs w:val="14"/>
          <w:color w:val="231F20"/>
        </w:rPr>
        <w:t>ÖŁ~Ò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~ÒŁ~¾</w:t>
      </w:r>
      <w:r>
        <w:rPr>
          <w:rFonts w:ascii="PMingLiU" w:cs="PMingLiU" w:eastAsia="PMingLiU" w:hAnsi="PMingLiU"/>
          <w:sz w:val="14"/>
          <w:szCs w:val="14"/>
          <w:color w:val="231F20"/>
        </w:rPr>
        <w:t></w:t>
      </w:r>
      <w:r>
        <w:rPr>
          <w:rFonts w:ascii="Arial" w:cs="Arial" w:eastAsia="Arial" w:hAnsi="Arial"/>
          <w:sz w:val="14"/>
          <w:szCs w:val="14"/>
          <w:color w:val="231F20"/>
        </w:rPr>
        <w:t>ŁÄàÒŁ</w:t>
      </w:r>
      <w:r>
        <w:rPr>
          <w:rFonts w:ascii="PMingLiU" w:cs="PMingLiU" w:eastAsia="PMingLiU" w:hAnsi="PMingLiU"/>
          <w:sz w:val="14"/>
          <w:szCs w:val="14"/>
          <w:color w:val="231F20"/>
        </w:rPr>
        <w:t></w:t>
      </w:r>
      <w:r>
        <w:rPr>
          <w:rFonts w:ascii="Arial" w:cs="Arial" w:eastAsia="Arial" w:hAnsi="Arial"/>
          <w:sz w:val="14"/>
          <w:szCs w:val="14"/>
          <w:color w:val="231F20"/>
        </w:rPr>
        <w:t>Ä¾ë§</w:t>
      </w:r>
      <w:r>
        <w:rPr>
          <w:rFonts w:ascii="PMingLiU" w:cs="PMingLiU" w:eastAsia="PMingLiU" w:hAnsi="PMingLiU"/>
          <w:sz w:val="14"/>
          <w:szCs w:val="14"/>
          <w:color w:val="231F20"/>
        </w:rPr>
        <w:t></w:t>
      </w:r>
      <w:r>
        <w:rPr>
          <w:rFonts w:ascii="Arial" w:cs="Arial" w:eastAsia="Arial" w:hAnsi="Arial"/>
          <w:sz w:val="14"/>
          <w:szCs w:val="14"/>
          <w:color w:val="231F20"/>
        </w:rPr>
        <w:t>Ü§Ä¾Ł§ÖŁÖÜÒÄ¾¡ńŁm</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¾Ü</w:t>
      </w:r>
      <w:r>
        <w:rPr>
          <w:rFonts w:ascii="PMingLiU" w:cs="PMingLiU" w:eastAsia="PMingLiU" w:hAnsi="PMingLiU"/>
          <w:sz w:val="14"/>
          <w:szCs w:val="14"/>
          <w:color w:val="231F20"/>
        </w:rPr>
        <w:t></w:t>
      </w:r>
      <w:r>
        <w:rPr>
          <w:rFonts w:ascii="Arial" w:cs="Arial" w:eastAsia="Arial" w:hAnsi="Arial"/>
          <w:sz w:val="14"/>
          <w:szCs w:val="14"/>
          <w:color w:val="231F20"/>
        </w:rPr>
        <w:t>Ò§¾¡ŁÜ¥</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~ÒŁì§Ü¥Ł~Ł½Ä</w:t>
      </w:r>
      <w:r>
        <w:rPr>
          <w:rFonts w:ascii="PMingLiU" w:cs="PMingLiU" w:eastAsia="PMingLiU" w:hAnsi="PMingLiU"/>
          <w:sz w:val="14"/>
          <w:szCs w:val="14"/>
          <w:color w:val="231F20"/>
        </w:rPr>
        <w:t></w:t>
      </w:r>
      <w:r>
        <w:rPr>
          <w:rFonts w:ascii="Arial" w:cs="Arial" w:eastAsia="Arial" w:hAnsi="Arial"/>
          <w:sz w:val="14"/>
          <w:szCs w:val="14"/>
          <w:color w:val="231F20"/>
        </w:rPr>
        <w:t>§·§ø</w:t>
      </w:r>
      <w:r>
        <w:rPr>
          <w:rFonts w:ascii="PMingLiU" w:cs="PMingLiU" w:eastAsia="PMingLiU" w:hAnsi="PMingLiU"/>
          <w:sz w:val="14"/>
          <w:szCs w:val="14"/>
          <w:color w:val="231F20"/>
        </w:rPr>
        <w:t></w:t>
      </w:r>
      <w:r>
        <w:rPr>
          <w:rFonts w:ascii="Arial" w:cs="Arial" w:eastAsia="Arial" w:hAnsi="Arial"/>
          <w:sz w:val="14"/>
          <w:szCs w:val="14"/>
          <w:color w:val="231F20"/>
        </w:rPr>
        <w:t xml:space="preserve">Ł </w:t>
      </w:r>
      <w:r>
        <w:rPr>
          <w:rFonts w:ascii="Arial" w:cs="Arial" w:eastAsia="Arial" w:hAnsi="Arial"/>
          <w:sz w:val="14"/>
          <w:szCs w:val="14"/>
          <w:color w:val="231F20"/>
        </w:rPr>
        <w:t xml:space="preserve">leadership team, a sharpened strategy, and the operational capacity, created by EDGE, to invest in execution. Our pipeline entering 2026 is the strongest we have seen in recent memory, and our go-to-market strategy is anchored around deepening and expanding a focused set of strategic client relationships where we believe we can deliver the greatest impact and </w:t>
      </w:r>
      <w:r>
        <w:rPr>
          <w:rFonts w:ascii="PMingLiU" w:cs="PMingLiU" w:eastAsia="PMingLiU" w:hAnsi="PMingLiU"/>
          <w:sz w:val="14"/>
          <w:szCs w:val="14"/>
          <w:color w:val="231F20"/>
        </w:rPr>
        <w:t></w:t>
      </w:r>
      <w:r>
        <w:rPr>
          <w:rFonts w:ascii="Arial" w:cs="Arial" w:eastAsia="Arial" w:hAnsi="Arial"/>
          <w:sz w:val="14"/>
          <w:szCs w:val="14"/>
          <w:color w:val="231F20"/>
        </w:rPr>
        <w:t>~ÏÜàÒ</w:t>
      </w:r>
      <w:r>
        <w:rPr>
          <w:rFonts w:ascii="PMingLiU" w:cs="PMingLiU" w:eastAsia="PMingLiU" w:hAnsi="PMingLiU"/>
          <w:sz w:val="14"/>
          <w:szCs w:val="14"/>
          <w:color w:val="231F20"/>
        </w:rPr>
        <w:t></w:t>
      </w:r>
      <w:r>
        <w:rPr>
          <w:rFonts w:ascii="Arial" w:cs="Arial" w:eastAsia="Arial" w:hAnsi="Arial"/>
          <w:sz w:val="14"/>
          <w:szCs w:val="14"/>
          <w:color w:val="231F20"/>
        </w:rPr>
        <w:t>ŁÜ¥</w:t>
      </w:r>
      <w:r>
        <w:rPr>
          <w:rFonts w:ascii="PMingLiU" w:cs="PMingLiU" w:eastAsia="PMingLiU" w:hAnsi="PMingLiU"/>
          <w:sz w:val="14"/>
          <w:szCs w:val="14"/>
          <w:color w:val="231F20"/>
        </w:rPr>
        <w:t></w:t>
      </w:r>
      <w:r>
        <w:rPr>
          <w:rFonts w:ascii="Arial" w:cs="Arial" w:eastAsia="Arial" w:hAnsi="Arial"/>
          <w:sz w:val="14"/>
          <w:szCs w:val="14"/>
          <w:color w:val="231F20"/>
        </w:rPr>
        <w:t>Ł½ÄÖÜŁë~·à</w:t>
      </w:r>
      <w:r>
        <w:rPr>
          <w:rFonts w:ascii="PMingLiU" w:cs="PMingLiU" w:eastAsia="PMingLiU" w:hAnsi="PMingLiU"/>
          <w:sz w:val="14"/>
          <w:szCs w:val="14"/>
          <w:color w:val="231F20"/>
        </w:rPr>
        <w:t></w:t>
      </w:r>
      <w:r>
        <w:rPr>
          <w:rFonts w:ascii="Arial" w:cs="Arial" w:eastAsia="Arial" w:hAnsi="Arial"/>
          <w:sz w:val="14"/>
          <w:szCs w:val="14"/>
          <w:color w:val="231F20"/>
        </w:rPr>
        <w:t>ńŁm</w:t>
      </w:r>
      <w:r>
        <w:rPr>
          <w:rFonts w:ascii="PMingLiU" w:cs="PMingLiU" w:eastAsia="PMingLiU" w:hAnsi="PMingLiU"/>
          <w:sz w:val="14"/>
          <w:szCs w:val="14"/>
          <w:color w:val="231F20"/>
        </w:rPr>
        <w:t></w:t>
      </w:r>
      <w:r>
        <w:rPr>
          <w:rFonts w:ascii="Arial" w:cs="Arial" w:eastAsia="Arial" w:hAnsi="Arial"/>
          <w:sz w:val="14"/>
          <w:szCs w:val="14"/>
          <w:color w:val="231F20"/>
        </w:rPr>
        <w:t>Ł¥~ë</w:t>
      </w:r>
      <w:r>
        <w:rPr>
          <w:rFonts w:ascii="PMingLiU" w:cs="PMingLiU" w:eastAsia="PMingLiU" w:hAnsi="PMingLiU"/>
          <w:sz w:val="14"/>
          <w:szCs w:val="14"/>
          <w:color w:val="231F20"/>
        </w:rPr>
        <w:t></w:t>
      </w:r>
      <w:r>
        <w:rPr>
          <w:rFonts w:ascii="Arial" w:cs="Arial" w:eastAsia="Arial" w:hAnsi="Arial"/>
          <w:sz w:val="14"/>
          <w:szCs w:val="14"/>
          <w:color w:val="231F20"/>
        </w:rPr>
        <w:t>ŁÜ¥Ò</w:t>
      </w:r>
      <w:r>
        <w:rPr>
          <w:rFonts w:ascii="PMingLiU" w:cs="PMingLiU" w:eastAsia="PMingLiU" w:hAnsi="PMingLiU"/>
          <w:sz w:val="14"/>
          <w:szCs w:val="14"/>
          <w:color w:val="231F20"/>
        </w:rPr>
        <w:t></w:t>
      </w:r>
      <w:r>
        <w:rPr>
          <w:rFonts w:ascii="Arial" w:cs="Arial" w:eastAsia="Arial" w:hAnsi="Arial"/>
          <w:sz w:val="14"/>
          <w:szCs w:val="14"/>
          <w:color w:val="231F20"/>
        </w:rPr>
        <w:t>ŁÏÒ§ÄÒ§Ü§</w:t>
      </w:r>
      <w:r>
        <w:rPr>
          <w:rFonts w:ascii="PMingLiU" w:cs="PMingLiU" w:eastAsia="PMingLiU" w:hAnsi="PMingLiU"/>
          <w:sz w:val="14"/>
          <w:szCs w:val="14"/>
          <w:color w:val="231F20"/>
        </w:rPr>
        <w:t></w:t>
      </w:r>
      <w:r>
        <w:rPr>
          <w:rFonts w:ascii="Arial" w:cs="Arial" w:eastAsia="Arial" w:hAnsi="Arial"/>
          <w:sz w:val="14"/>
          <w:szCs w:val="14"/>
          <w:color w:val="231F20"/>
        </w:rPr>
        <w:t>ÖŁ ÄÒŁÜ¥</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~ÒŁ~¥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ņ</w:t>
      </w:r>
    </w:p>
    <w:p>
      <w:pPr>
        <w:sectPr>
          <w:pgSz w:w="11880" w:h="15480" w:orient="portrait"/>
          <w:cols w:equalWidth="0" w:num="1">
            <w:col w:w="10780"/>
          </w:cols>
          <w:pgMar w:left="720" w:top="1109" w:right="380" w:bottom="0" w:gutter="0" w:footer="0" w:header="0"/>
        </w:sectPr>
      </w:pPr>
    </w:p>
    <w:p>
      <w:pPr>
        <w:spacing w:after="0" w:line="391" w:lineRule="exact"/>
        <w:rPr>
          <w:sz w:val="20"/>
          <w:szCs w:val="20"/>
          <w:color w:val="auto"/>
        </w:rPr>
      </w:pPr>
    </w:p>
    <w:p>
      <w:pPr>
        <w:ind w:left="10660"/>
        <w:spacing w:after="0"/>
        <w:rPr>
          <w:sz w:val="20"/>
          <w:szCs w:val="20"/>
          <w:color w:val="auto"/>
        </w:rPr>
      </w:pPr>
      <w:r>
        <w:rPr>
          <w:rFonts w:ascii="Arial" w:cs="Arial" w:eastAsia="Arial" w:hAnsi="Arial"/>
          <w:sz w:val="18"/>
          <w:szCs w:val="18"/>
          <w:color w:val="221E1F"/>
        </w:rPr>
        <w:t>5</w:t>
      </w:r>
    </w:p>
    <w:p>
      <w:pPr>
        <w:sectPr>
          <w:pgSz w:w="11880" w:h="15480" w:orient="portrait"/>
          <w:cols w:equalWidth="0" w:num="1">
            <w:col w:w="10780"/>
          </w:cols>
          <w:pgMar w:left="720" w:top="1109" w:right="380" w:bottom="0" w:gutter="0" w:footer="0" w:header="0"/>
          <w:type w:val="continuous"/>
        </w:sectPr>
      </w:pPr>
    </w:p>
    <w:bookmarkStart w:id="7" w:name="page8"/>
    <w:bookmarkEnd w:id="7"/>
    <w:p>
      <w:pPr>
        <w:ind w:left="4" w:right="420"/>
        <w:spacing w:after="0" w:line="238" w:lineRule="exact"/>
        <w:rPr>
          <w:sz w:val="20"/>
          <w:szCs w:val="20"/>
          <w:color w:val="auto"/>
        </w:rPr>
      </w:pPr>
      <w:r>
        <w:rPr>
          <w:rFonts w:ascii="PMingLiU" w:cs="PMingLiU" w:eastAsia="PMingLiU" w:hAnsi="PMingLiU"/>
          <w:sz w:val="14"/>
          <w:szCs w:val="14"/>
          <w:color w:val="231F20"/>
        </w:rPr>
        <w:drawing>
          <wp:anchor simplePos="0" relativeHeight="251657728" behindDoc="1" locked="0" layoutInCell="0" allowOverlap="1">
            <wp:simplePos x="0" y="0"/>
            <wp:positionH relativeFrom="page">
              <wp:posOffset>5880735</wp:posOffset>
            </wp:positionH>
            <wp:positionV relativeFrom="page">
              <wp:posOffset>231775</wp:posOffset>
            </wp:positionV>
            <wp:extent cx="1209675"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675" cy="300355"/>
                    </a:xfrm>
                    <a:prstGeom prst="rect">
                      <a:avLst/>
                    </a:prstGeom>
                    <a:noFill/>
                  </pic:spPr>
                </pic:pic>
              </a:graphicData>
            </a:graphic>
          </wp:anchor>
        </w:drawing>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ÒŁ·Ä¾¡ŕÜ</w:t>
      </w:r>
      <w:r>
        <w:rPr>
          <w:rFonts w:ascii="PMingLiU" w:cs="PMingLiU" w:eastAsia="PMingLiU" w:hAnsi="PMingLiU"/>
          <w:sz w:val="14"/>
          <w:szCs w:val="14"/>
          <w:color w:val="231F20"/>
        </w:rPr>
        <w:t></w:t>
      </w:r>
      <w:r>
        <w:rPr>
          <w:rFonts w:ascii="Arial" w:cs="Arial" w:eastAsia="Arial" w:hAnsi="Arial"/>
          <w:sz w:val="14"/>
          <w:szCs w:val="14"/>
          <w:color w:val="231F20"/>
        </w:rPr>
        <w:t>Ò½ŁÖàÖÜ~§¾~</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Ł¡ÒÄìÜ¥ń</w:t>
      </w:r>
      <w:r>
        <w:rPr>
          <w:rFonts w:ascii="Arial" w:cs="Arial" w:eastAsia="Arial" w:hAnsi="Arial"/>
          <w:sz w:val="14"/>
          <w:szCs w:val="14"/>
          <w:color w:val="231F20"/>
        </w:rPr>
        <w:t>Łm</w:t>
      </w:r>
      <w:r>
        <w:rPr>
          <w:rFonts w:ascii="PMingLiU" w:cs="PMingLiU" w:eastAsia="PMingLiU" w:hAnsi="PMingLiU"/>
          <w:sz w:val="14"/>
          <w:szCs w:val="14"/>
          <w:color w:val="231F20"/>
        </w:rPr>
        <w:t></w:t>
      </w:r>
      <w:r>
        <w:rPr>
          <w:rFonts w:ascii="Arial" w:cs="Arial" w:eastAsia="Arial" w:hAnsi="Arial"/>
          <w:sz w:val="14"/>
          <w:szCs w:val="14"/>
          <w:color w:val="231F20"/>
        </w:rPr>
        <w:t>Łì§··ŁÏàÒÖà</w:t>
      </w:r>
      <w:r>
        <w:rPr>
          <w:rFonts w:ascii="PMingLiU" w:cs="PMingLiU" w:eastAsia="PMingLiU" w:hAnsi="PMingLiU"/>
          <w:sz w:val="14"/>
          <w:szCs w:val="14"/>
          <w:color w:val="231F20"/>
        </w:rPr>
        <w:t></w:t>
      </w:r>
      <w:r>
        <w:rPr>
          <w:rFonts w:ascii="Arial" w:cs="Arial" w:eastAsia="Arial" w:hAnsi="Arial"/>
          <w:sz w:val="14"/>
          <w:szCs w:val="14"/>
          <w:color w:val="231F20"/>
        </w:rPr>
        <w:t>Ł¡ÒÄìÜ¥Łì§Ü¥Ł</w:t>
      </w:r>
      <w:r>
        <w:rPr>
          <w:rFonts w:ascii="PMingLiU" w:cs="PMingLiU" w:eastAsia="PMingLiU" w:hAnsi="PMingLiU"/>
          <w:sz w:val="14"/>
          <w:szCs w:val="14"/>
          <w:color w:val="231F20"/>
        </w:rPr>
        <w:t></w:t>
      </w:r>
      <w:r>
        <w:rPr>
          <w:rFonts w:ascii="Arial" w:cs="Arial" w:eastAsia="Arial" w:hAnsi="Arial"/>
          <w:sz w:val="14"/>
          <w:szCs w:val="14"/>
          <w:color w:val="231F20"/>
        </w:rPr>
        <w:t>§Ö</w:t>
      </w:r>
      <w:r>
        <w:rPr>
          <w:rFonts w:ascii="PMingLiU" w:cs="PMingLiU" w:eastAsia="PMingLiU" w:hAnsi="PMingLiU"/>
          <w:sz w:val="14"/>
          <w:szCs w:val="14"/>
          <w:color w:val="231F20"/>
        </w:rPr>
        <w:t></w:t>
      </w:r>
      <w:r>
        <w:rPr>
          <w:rFonts w:ascii="Arial" w:cs="Arial" w:eastAsia="Arial" w:hAnsi="Arial"/>
          <w:sz w:val="14"/>
          <w:szCs w:val="14"/>
          <w:color w:val="231F20"/>
        </w:rPr>
        <w:t>§Ï·§¾</w:t>
      </w:r>
      <w:r>
        <w:rPr>
          <w:rFonts w:ascii="PMingLiU" w:cs="PMingLiU" w:eastAsia="PMingLiU" w:hAnsi="PMingLiU"/>
          <w:sz w:val="14"/>
          <w:szCs w:val="14"/>
          <w:color w:val="231F20"/>
        </w:rPr>
        <w:t></w:t>
      </w:r>
      <w:r>
        <w:rPr>
          <w:rFonts w:ascii="Arial" w:cs="Arial" w:eastAsia="Arial" w:hAnsi="Arial"/>
          <w:sz w:val="14"/>
          <w:szCs w:val="14"/>
          <w:color w:val="231F20"/>
        </w:rPr>
        <w:t>ŅŁ Ä</w:t>
      </w:r>
      <w:r>
        <w:rPr>
          <w:rFonts w:ascii="PMingLiU" w:cs="PMingLiU" w:eastAsia="PMingLiU" w:hAnsi="PMingLiU"/>
          <w:sz w:val="14"/>
          <w:szCs w:val="14"/>
          <w:color w:val="231F20"/>
        </w:rPr>
        <w:t></w:t>
      </w:r>
      <w:r>
        <w:rPr>
          <w:rFonts w:ascii="Arial" w:cs="Arial" w:eastAsia="Arial" w:hAnsi="Arial"/>
          <w:sz w:val="14"/>
          <w:szCs w:val="14"/>
          <w:color w:val="231F20"/>
        </w:rPr>
        <w:t>àÖ§¾¡ŁÄ¾ŁÒ</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¾à</w:t>
      </w:r>
      <w:r>
        <w:rPr>
          <w:rFonts w:ascii="PMingLiU" w:cs="PMingLiU" w:eastAsia="PMingLiU" w:hAnsi="PMingLiU"/>
          <w:sz w:val="14"/>
          <w:szCs w:val="14"/>
          <w:color w:val="231F20"/>
        </w:rPr>
        <w:t></w:t>
      </w:r>
      <w:r>
        <w:rPr>
          <w:rFonts w:ascii="Arial" w:cs="Arial" w:eastAsia="Arial" w:hAnsi="Arial"/>
          <w:sz w:val="14"/>
          <w:szCs w:val="14"/>
          <w:color w:val="231F20"/>
        </w:rPr>
        <w:t>ŁÑà~·§ÜòŅŁ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¾ÜŁ</w:t>
      </w:r>
      <w:r>
        <w:rPr>
          <w:rFonts w:ascii="PMingLiU" w:cs="PMingLiU" w:eastAsia="PMingLiU" w:hAnsi="PMingLiU"/>
          <w:sz w:val="14"/>
          <w:szCs w:val="14"/>
          <w:color w:val="231F20"/>
        </w:rPr>
        <w:t></w:t>
      </w:r>
      <w:r>
        <w:rPr>
          <w:rFonts w:ascii="Arial" w:cs="Arial" w:eastAsia="Arial" w:hAnsi="Arial"/>
          <w:sz w:val="14"/>
          <w:szCs w:val="14"/>
          <w:color w:val="231F20"/>
        </w:rPr>
        <w:t>ñÏ~¾Ö§Ä¾ŅŁ</w:t>
      </w:r>
      <w:r>
        <w:rPr>
          <w:rFonts w:ascii="Arial" w:cs="Arial" w:eastAsia="Arial" w:hAnsi="Arial"/>
          <w:sz w:val="14"/>
          <w:szCs w:val="14"/>
          <w:color w:val="231F20"/>
        </w:rPr>
        <w:t xml:space="preserve"> </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ÄÄµ§¾¡ÖŁ½Ä½</w:t>
      </w:r>
      <w:r>
        <w:rPr>
          <w:rFonts w:ascii="PMingLiU" w:cs="PMingLiU" w:eastAsia="PMingLiU" w:hAnsi="PMingLiU"/>
          <w:sz w:val="14"/>
          <w:szCs w:val="14"/>
          <w:color w:val="231F20"/>
        </w:rPr>
        <w:t></w:t>
      </w:r>
      <w:r>
        <w:rPr>
          <w:rFonts w:ascii="Arial" w:cs="Arial" w:eastAsia="Arial" w:hAnsi="Arial"/>
          <w:sz w:val="14"/>
          <w:szCs w:val="14"/>
          <w:color w:val="231F20"/>
        </w:rPr>
        <w:t>¾Üà½Ł§¾ŁÄàÒŁ</w:t>
      </w:r>
      <w:r>
        <w:rPr>
          <w:rFonts w:ascii="PMingLiU" w:cs="PMingLiU" w:eastAsia="PMingLiU" w:hAnsi="PMingLiU"/>
          <w:sz w:val="14"/>
          <w:szCs w:val="14"/>
          <w:color w:val="231F20"/>
        </w:rPr>
        <w:t/>
      </w:r>
      <w:r>
        <w:rPr>
          <w:rFonts w:ascii="Arial" w:cs="Arial" w:eastAsia="Arial" w:hAnsi="Arial"/>
          <w:sz w:val="14"/>
          <w:szCs w:val="14"/>
          <w:color w:val="231F20"/>
        </w:rPr>
        <w:t>~Ü~Ł~¾</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
      </w:r>
      <w:r>
        <w:rPr>
          <w:rFonts w:ascii="Arial" w:cs="Arial" w:eastAsia="Arial" w:hAnsi="Arial"/>
          <w:sz w:val="14"/>
          <w:szCs w:val="14"/>
          <w:color w:val="231F20"/>
        </w:rPr>
        <w:t>¾~·òÜ§</w:t>
      </w:r>
      <w:r>
        <w:rPr>
          <w:rFonts w:ascii="PMingLiU" w:cs="PMingLiU" w:eastAsia="PMingLiU" w:hAnsi="PMingLiU"/>
          <w:sz w:val="14"/>
          <w:szCs w:val="14"/>
          <w:color w:val="231F20"/>
        </w:rPr>
        <w:t></w:t>
      </w:r>
      <w:r>
        <w:rPr>
          <w:rFonts w:ascii="Arial" w:cs="Arial" w:eastAsia="Arial" w:hAnsi="Arial"/>
          <w:sz w:val="14"/>
          <w:szCs w:val="14"/>
          <w:color w:val="231F20"/>
        </w:rPr>
        <w:t>ÖŁÖ</w:t>
      </w:r>
      <w:r>
        <w:rPr>
          <w:rFonts w:ascii="PMingLiU" w:cs="PMingLiU" w:eastAsia="PMingLiU" w:hAnsi="PMingLiU"/>
          <w:sz w:val="14"/>
          <w:szCs w:val="14"/>
          <w:color w:val="231F20"/>
        </w:rPr>
        <w:t></w:t>
      </w:r>
      <w:r>
        <w:rPr>
          <w:rFonts w:ascii="Arial" w:cs="Arial" w:eastAsia="Arial" w:hAnsi="Arial"/>
          <w:sz w:val="14"/>
          <w:szCs w:val="14"/>
          <w:color w:val="231F20"/>
        </w:rPr>
        <w:t>¡½</w:t>
      </w:r>
      <w:r>
        <w:rPr>
          <w:rFonts w:ascii="PMingLiU" w:cs="PMingLiU" w:eastAsia="PMingLiU" w:hAnsi="PMingLiU"/>
          <w:sz w:val="14"/>
          <w:szCs w:val="14"/>
          <w:color w:val="231F20"/>
        </w:rPr>
        <w:t></w:t>
      </w:r>
      <w:r>
        <w:rPr>
          <w:rFonts w:ascii="Arial" w:cs="Arial" w:eastAsia="Arial" w:hAnsi="Arial"/>
          <w:sz w:val="14"/>
          <w:szCs w:val="14"/>
          <w:color w:val="231F20"/>
        </w:rPr>
        <w:t>¾ÜńŁ]¥§ÖŁ§¾</w:t>
      </w:r>
      <w:r>
        <w:rPr>
          <w:rFonts w:ascii="PMingLiU" w:cs="PMingLiU" w:eastAsia="PMingLiU" w:hAnsi="PMingLiU"/>
          <w:sz w:val="14"/>
          <w:szCs w:val="14"/>
          <w:color w:val="231F20"/>
        </w:rPr>
        <w:t></w:t>
      </w:r>
      <w:r>
        <w:rPr>
          <w:rFonts w:ascii="Arial" w:cs="Arial" w:eastAsia="Arial" w:hAnsi="Arial"/>
          <w:sz w:val="14"/>
          <w:szCs w:val="14"/>
          <w:color w:val="231F20"/>
        </w:rPr>
        <w:t>·à</w:t>
      </w:r>
      <w:r>
        <w:rPr>
          <w:rFonts w:ascii="PMingLiU" w:cs="PMingLiU" w:eastAsia="PMingLiU" w:hAnsi="PMingLiU"/>
          <w:sz w:val="14"/>
          <w:szCs w:val="14"/>
          <w:color w:val="231F20"/>
        </w:rPr>
        <w:t></w:t>
      </w:r>
      <w:r>
        <w:rPr>
          <w:rFonts w:ascii="Arial" w:cs="Arial" w:eastAsia="Arial" w:hAnsi="Arial"/>
          <w:sz w:val="14"/>
          <w:szCs w:val="14"/>
          <w:color w:val="231F20"/>
        </w:rPr>
        <w:t>ÖŁ</w:t>
      </w:r>
      <w:r>
        <w:rPr>
          <w:rFonts w:ascii="PMingLiU" w:cs="PMingLiU" w:eastAsia="PMingLiU" w:hAnsi="PMingLiU"/>
          <w:sz w:val="14"/>
          <w:szCs w:val="14"/>
          <w:color w:val="231F20"/>
        </w:rPr>
        <w:t></w:t>
      </w:r>
      <w:r>
        <w:rPr>
          <w:rFonts w:ascii="Arial" w:cs="Arial" w:eastAsia="Arial" w:hAnsi="Arial"/>
          <w:sz w:val="14"/>
          <w:szCs w:val="14"/>
          <w:color w:val="231F20"/>
        </w:rPr>
        <w:t>ëÄ·ë§¾¡ŁÄàÒŁÜ~·</w:t>
      </w:r>
      <w:r>
        <w:rPr>
          <w:rFonts w:ascii="PMingLiU" w:cs="PMingLiU" w:eastAsia="PMingLiU" w:hAnsi="PMingLiU"/>
          <w:sz w:val="14"/>
          <w:szCs w:val="14"/>
          <w:color w:val="231F20"/>
        </w:rPr>
        <w:t></w:t>
      </w:r>
      <w:r>
        <w:rPr>
          <w:rFonts w:ascii="Arial" w:cs="Arial" w:eastAsia="Arial" w:hAnsi="Arial"/>
          <w:sz w:val="14"/>
          <w:szCs w:val="14"/>
          <w:color w:val="231F20"/>
        </w:rPr>
        <w:t>¾ÜŁ½Ä</w:t>
      </w:r>
      <w:r>
        <w:rPr>
          <w:rFonts w:ascii="PMingLiU" w:cs="PMingLiU" w:eastAsia="PMingLiU" w:hAnsi="PMingLiU"/>
          <w:sz w:val="14"/>
          <w:szCs w:val="14"/>
          <w:color w:val="231F20"/>
        </w:rPr>
        <w:t></w:t>
      </w:r>
      <w:r>
        <w:rPr>
          <w:rFonts w:ascii="Arial" w:cs="Arial" w:eastAsia="Arial" w:hAnsi="Arial"/>
          <w:sz w:val="14"/>
          <w:szCs w:val="14"/>
          <w:color w:val="231F20"/>
        </w:rPr>
        <w:t>·ŁÜÄŁÒ</w:t>
      </w:r>
      <w:r>
        <w:rPr>
          <w:rFonts w:ascii="PMingLiU" w:cs="PMingLiU" w:eastAsia="PMingLiU" w:hAnsi="PMingLiU"/>
          <w:sz w:val="14"/>
          <w:szCs w:val="14"/>
          <w:color w:val="231F20"/>
        </w:rPr>
        <w:t></w:t>
      </w:r>
      <w:r>
        <w:rPr>
          <w:rFonts w:ascii="Arial" w:cs="Arial" w:eastAsia="Arial" w:hAnsi="Arial"/>
          <w:sz w:val="14"/>
          <w:szCs w:val="14"/>
          <w:color w:val="231F20"/>
        </w:rPr>
        <w:t>Ğ</w:t>
      </w:r>
      <w:r>
        <w:rPr>
          <w:rFonts w:ascii="PMingLiU" w:cs="PMingLiU" w:eastAsia="PMingLiU" w:hAnsi="PMingLiU"/>
          <w:sz w:val="14"/>
          <w:szCs w:val="14"/>
          <w:color w:val="231F20"/>
        </w:rPr>
        <w:t></w:t>
      </w:r>
      <w:r>
        <w:rPr>
          <w:rFonts w:ascii="Arial" w:cs="Arial" w:eastAsia="Arial" w:hAnsi="Arial"/>
          <w:sz w:val="14"/>
          <w:szCs w:val="14"/>
          <w:color w:val="231F20"/>
        </w:rPr>
        <w:t>ÜŁì¥</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 xml:space="preserve">¾ÜŁ </w:t>
      </w:r>
      <w:r>
        <w:rPr>
          <w:rFonts w:ascii="Arial" w:cs="Arial" w:eastAsia="Arial" w:hAnsi="Arial"/>
          <w:sz w:val="14"/>
          <w:szCs w:val="14"/>
          <w:color w:val="231F20"/>
        </w:rPr>
        <w:t>demand is heading – systematically building AI-adjacent capabilities across our Talent base so we are positioned to capture the higher-value engagements the market increasingly requires.</w:t>
      </w:r>
    </w:p>
    <w:p>
      <w:pPr>
        <w:spacing w:after="0" w:line="249" w:lineRule="exact"/>
        <w:rPr>
          <w:sz w:val="20"/>
          <w:szCs w:val="20"/>
          <w:color w:val="auto"/>
        </w:rPr>
      </w:pPr>
    </w:p>
    <w:p>
      <w:pPr>
        <w:ind w:left="4" w:right="380"/>
        <w:spacing w:after="0" w:line="237" w:lineRule="exact"/>
        <w:rPr>
          <w:sz w:val="20"/>
          <w:szCs w:val="20"/>
          <w:color w:val="auto"/>
        </w:rPr>
      </w:pPr>
      <w:r>
        <w:rPr>
          <w:rFonts w:ascii="Arial" w:cs="Arial" w:eastAsia="Arial" w:hAnsi="Arial"/>
          <w:sz w:val="14"/>
          <w:szCs w:val="14"/>
          <w:color w:val="231F20"/>
        </w:rPr>
        <w:t>a¾·Ä</w:t>
      </w:r>
      <w:r>
        <w:rPr>
          <w:rFonts w:ascii="PMingLiU" w:cs="PMingLiU" w:eastAsia="PMingLiU" w:hAnsi="PMingLiU"/>
          <w:sz w:val="14"/>
          <w:szCs w:val="14"/>
          <w:color w:val="231F20"/>
        </w:rPr>
        <w:t></w:t>
      </w:r>
      <w:r>
        <w:rPr>
          <w:rFonts w:ascii="Arial" w:cs="Arial" w:eastAsia="Arial" w:hAnsi="Arial"/>
          <w:sz w:val="14"/>
          <w:szCs w:val="14"/>
          <w:color w:val="231F20"/>
        </w:rPr>
        <w:t>µŁÖà</w:t>
      </w:r>
      <w:r>
        <w:rPr>
          <w:rFonts w:ascii="PMingLiU" w:cs="PMingLiU" w:eastAsia="PMingLiU" w:hAnsi="PMingLiU"/>
          <w:sz w:val="14"/>
          <w:szCs w:val="14"/>
          <w:color w:val="231F20"/>
        </w:rPr>
        <w:t></w:t>
      </w:r>
      <w:r>
        <w:rPr>
          <w:rFonts w:ascii="Arial" w:cs="Arial" w:eastAsia="Arial" w:hAnsi="Arial"/>
          <w:sz w:val="14"/>
          <w:szCs w:val="14"/>
          <w:color w:val="231F20"/>
        </w:rPr>
        <w:t>ÖÜ~¾Ü§~·Łë~·à</w:t>
      </w:r>
      <w:r>
        <w:rPr>
          <w:rFonts w:ascii="PMingLiU" w:cs="PMingLiU" w:eastAsia="PMingLiU" w:hAnsi="PMingLiU"/>
          <w:sz w:val="14"/>
          <w:szCs w:val="14"/>
          <w:color w:val="231F20"/>
        </w:rPr>
        <w:t></w:t>
      </w:r>
      <w:r>
        <w:rPr>
          <w:rFonts w:ascii="Arial" w:cs="Arial" w:eastAsia="Arial" w:hAnsi="Arial"/>
          <w:sz w:val="14"/>
          <w:szCs w:val="14"/>
          <w:color w:val="231F20"/>
        </w:rPr>
        <w:t>Ł ÄÒŁÄàÒŁ</w:t>
      </w:r>
      <w:r>
        <w:rPr>
          <w:rFonts w:ascii="PMingLiU" w:cs="PMingLiU" w:eastAsia="PMingLiU" w:hAnsi="PMingLiU"/>
          <w:sz w:val="14"/>
          <w:szCs w:val="14"/>
          <w:color w:val="231F20"/>
        </w:rPr>
        <w:t></w:t>
      </w:r>
      <w:r>
        <w:rPr>
          <w:rFonts w:ascii="Arial" w:cs="Arial" w:eastAsia="Arial" w:hAnsi="Arial"/>
          <w:sz w:val="14"/>
          <w:szCs w:val="14"/>
          <w:color w:val="231F20"/>
        </w:rPr>
        <w:t>àÖÜÄ½</w:t>
      </w:r>
      <w:r>
        <w:rPr>
          <w:rFonts w:ascii="PMingLiU" w:cs="PMingLiU" w:eastAsia="PMingLiU" w:hAnsi="PMingLiU"/>
          <w:sz w:val="14"/>
          <w:szCs w:val="14"/>
          <w:color w:val="231F20"/>
        </w:rPr>
        <w:t></w:t>
      </w:r>
      <w:r>
        <w:rPr>
          <w:rFonts w:ascii="Arial" w:cs="Arial" w:eastAsia="Arial" w:hAnsi="Arial"/>
          <w:sz w:val="14"/>
          <w:szCs w:val="14"/>
          <w:color w:val="231F20"/>
        </w:rPr>
        <w:t>ÒÖń</w:t>
      </w:r>
      <w:r>
        <w:rPr>
          <w:rFonts w:ascii="Arial" w:cs="Arial" w:eastAsia="Arial" w:hAnsi="Arial"/>
          <w:sz w:val="14"/>
          <w:szCs w:val="14"/>
          <w:color w:val="231F20"/>
        </w:rPr>
        <w:t>ŁEàÒŁ½</w:t>
      </w:r>
      <w:r>
        <w:rPr>
          <w:rFonts w:ascii="PMingLiU" w:cs="PMingLiU" w:eastAsia="PMingLiU" w:hAnsi="PMingLiU"/>
          <w:sz w:val="14"/>
          <w:szCs w:val="14"/>
          <w:color w:val="231F20"/>
        </w:rPr>
        <w:t></w:t>
      </w:r>
      <w:r>
        <w:rPr>
          <w:rFonts w:ascii="Arial" w:cs="Arial" w:eastAsia="Arial" w:hAnsi="Arial"/>
          <w:sz w:val="14"/>
          <w:szCs w:val="14"/>
          <w:color w:val="231F20"/>
        </w:rPr>
        <w:t>~ÖàÒ</w:t>
      </w:r>
      <w:r>
        <w:rPr>
          <w:rFonts w:ascii="PMingLiU" w:cs="PMingLiU" w:eastAsia="PMingLiU" w:hAnsi="PMingLiU"/>
          <w:sz w:val="14"/>
          <w:szCs w:val="14"/>
          <w:color w:val="231F20"/>
        </w:rPr>
        <w:t></w:t>
      </w:r>
      <w:r>
        <w:rPr>
          <w:rFonts w:ascii="Arial" w:cs="Arial" w:eastAsia="Arial" w:hAnsi="Arial"/>
          <w:sz w:val="14"/>
          <w:szCs w:val="14"/>
          <w:color w:val="231F20"/>
        </w:rPr>
        <w:t>ŁÄ ŁÖà</w:t>
      </w:r>
      <w:r>
        <w:rPr>
          <w:rFonts w:ascii="PMingLiU" w:cs="PMingLiU" w:eastAsia="PMingLiU" w:hAnsi="PMingLiU"/>
          <w:sz w:val="14"/>
          <w:szCs w:val="14"/>
          <w:color w:val="231F20"/>
        </w:rPr>
        <w:t></w:t>
      </w:r>
      <w:r>
        <w:rPr>
          <w:rFonts w:ascii="Arial" w:cs="Arial" w:eastAsia="Arial" w:hAnsi="Arial"/>
          <w:sz w:val="14"/>
          <w:szCs w:val="14"/>
          <w:color w:val="231F20"/>
        </w:rPr>
        <w:t>ÖÖŁ§ÖŁ¾ÄÜŁ³àÖÜŁĝ¾~¾</w:t>
      </w:r>
      <w:r>
        <w:rPr>
          <w:rFonts w:ascii="PMingLiU" w:cs="PMingLiU" w:eastAsia="PMingLiU" w:hAnsi="PMingLiU"/>
          <w:sz w:val="14"/>
          <w:szCs w:val="14"/>
          <w:color w:val="231F20"/>
        </w:rPr>
        <w:t></w:t>
      </w:r>
      <w:r>
        <w:rPr>
          <w:rFonts w:ascii="Arial" w:cs="Arial" w:eastAsia="Arial" w:hAnsi="Arial"/>
          <w:sz w:val="14"/>
          <w:szCs w:val="14"/>
          <w:color w:val="231F20"/>
        </w:rPr>
        <w:t>§~·ŁÏ</w:t>
      </w:r>
      <w:r>
        <w:rPr>
          <w:rFonts w:ascii="PMingLiU" w:cs="PMingLiU" w:eastAsia="PMingLiU" w:hAnsi="PMingLiU"/>
          <w:sz w:val="14"/>
          <w:szCs w:val="14"/>
          <w:color w:val="231F20"/>
        </w:rPr>
        <w:t></w:t>
      </w:r>
      <w:r>
        <w:rPr>
          <w:rFonts w:ascii="Arial" w:cs="Arial" w:eastAsia="Arial" w:hAnsi="Arial"/>
          <w:sz w:val="14"/>
          <w:szCs w:val="14"/>
          <w:color w:val="231F20"/>
        </w:rPr>
        <w:t>Ò ÄÒ½~¾</w:t>
      </w:r>
      <w:r>
        <w:rPr>
          <w:rFonts w:ascii="PMingLiU" w:cs="PMingLiU" w:eastAsia="PMingLiU" w:hAnsi="PMingLiU"/>
          <w:sz w:val="14"/>
          <w:szCs w:val="14"/>
          <w:color w:val="231F20"/>
        </w:rPr>
        <w:t></w:t>
      </w:r>
      <w:r>
        <w:rPr>
          <w:rFonts w:ascii="Arial" w:cs="Arial" w:eastAsia="Arial" w:hAnsi="Arial"/>
          <w:sz w:val="14"/>
          <w:szCs w:val="14"/>
          <w:color w:val="231F20"/>
        </w:rPr>
        <w:t>ŁŖŁ§ÜŁ§ÖŁÜ¥</w:t>
      </w:r>
      <w:r>
        <w:rPr>
          <w:rFonts w:ascii="PMingLiU" w:cs="PMingLiU" w:eastAsia="PMingLiU" w:hAnsi="PMingLiU"/>
          <w:sz w:val="14"/>
          <w:szCs w:val="14"/>
          <w:color w:val="231F20"/>
        </w:rPr>
        <w:t></w:t>
      </w:r>
      <w:r>
        <w:rPr>
          <w:rFonts w:ascii="Arial" w:cs="Arial" w:eastAsia="Arial" w:hAnsi="Arial"/>
          <w:sz w:val="14"/>
          <w:szCs w:val="14"/>
          <w:color w:val="231F20"/>
        </w:rPr>
        <w:t>Ł§½Ï~</w:t>
      </w:r>
      <w:r>
        <w:rPr>
          <w:rFonts w:ascii="PMingLiU" w:cs="PMingLiU" w:eastAsia="PMingLiU" w:hAnsi="PMingLiU"/>
          <w:sz w:val="14"/>
          <w:szCs w:val="14"/>
          <w:color w:val="231F20"/>
        </w:rPr>
        <w:t></w:t>
      </w:r>
      <w:r>
        <w:rPr>
          <w:rFonts w:ascii="Arial" w:cs="Arial" w:eastAsia="Arial" w:hAnsi="Arial"/>
          <w:sz w:val="14"/>
          <w:szCs w:val="14"/>
          <w:color w:val="231F20"/>
        </w:rPr>
        <w:t>ÜŁì</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Arial" w:cs="Arial" w:eastAsia="Arial" w:hAnsi="Arial"/>
          <w:sz w:val="14"/>
          <w:szCs w:val="14"/>
          <w:color w:val="231F20"/>
        </w:rPr>
        <w:t xml:space="preserve"> </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Ł ÄÒŁÜ¥</w:t>
      </w:r>
      <w:r>
        <w:rPr>
          <w:rFonts w:ascii="PMingLiU" w:cs="PMingLiU" w:eastAsia="PMingLiU" w:hAnsi="PMingLiU"/>
          <w:sz w:val="14"/>
          <w:szCs w:val="14"/>
          <w:color w:val="231F20"/>
        </w:rPr>
        <w:t></w:t>
      </w:r>
      <w:r>
        <w:rPr>
          <w:rFonts w:ascii="Arial" w:cs="Arial" w:eastAsia="Arial" w:hAnsi="Arial"/>
          <w:sz w:val="14"/>
          <w:szCs w:val="14"/>
          <w:color w:val="231F20"/>
        </w:rPr>
        <w:t>ŁÄÒ¡~¾§ø~Ü§Ä¾ÖŁì</w:t>
      </w:r>
      <w:r>
        <w:rPr>
          <w:rFonts w:ascii="PMingLiU" w:cs="PMingLiU" w:eastAsia="PMingLiU" w:hAnsi="PMingLiU"/>
          <w:sz w:val="14"/>
          <w:szCs w:val="14"/>
          <w:color w:val="231F20"/>
        </w:rPr>
        <w:t></w:t>
      </w:r>
      <w:r>
        <w:rPr>
          <w:rFonts w:ascii="Arial" w:cs="Arial" w:eastAsia="Arial" w:hAnsi="Arial"/>
          <w:sz w:val="14"/>
          <w:szCs w:val="14"/>
          <w:color w:val="231F20"/>
        </w:rPr>
        <w:t>ŁÖ</w:t>
      </w:r>
      <w:r>
        <w:rPr>
          <w:rFonts w:ascii="PMingLiU" w:cs="PMingLiU" w:eastAsia="PMingLiU" w:hAnsi="PMingLiU"/>
          <w:sz w:val="14"/>
          <w:szCs w:val="14"/>
          <w:color w:val="231F20"/>
        </w:rPr>
        <w:t></w:t>
      </w:r>
      <w:r>
        <w:rPr>
          <w:rFonts w:ascii="Arial" w:cs="Arial" w:eastAsia="Arial" w:hAnsi="Arial"/>
          <w:sz w:val="14"/>
          <w:szCs w:val="14"/>
          <w:color w:val="231F20"/>
        </w:rPr>
        <w:t>Òë</w:t>
      </w:r>
      <w:r>
        <w:rPr>
          <w:rFonts w:ascii="PMingLiU" w:cs="PMingLiU" w:eastAsia="PMingLiU" w:hAnsi="PMingLiU"/>
          <w:sz w:val="14"/>
          <w:szCs w:val="14"/>
          <w:color w:val="231F20"/>
        </w:rPr>
        <w:t></w:t>
      </w:r>
      <w:r>
        <w:rPr>
          <w:rFonts w:ascii="Arial" w:cs="Arial" w:eastAsia="Arial" w:hAnsi="Arial"/>
          <w:sz w:val="14"/>
          <w:szCs w:val="14"/>
          <w:color w:val="231F20"/>
        </w:rPr>
        <w:t>ńŁm</w:t>
      </w:r>
      <w:r>
        <w:rPr>
          <w:rFonts w:ascii="PMingLiU" w:cs="PMingLiU" w:eastAsia="PMingLiU" w:hAnsi="PMingLiU"/>
          <w:sz w:val="14"/>
          <w:szCs w:val="14"/>
          <w:color w:val="231F20"/>
        </w:rPr>
        <w:t></w:t>
      </w:r>
      <w:r>
        <w:rPr>
          <w:rFonts w:ascii="Arial" w:cs="Arial" w:eastAsia="Arial" w:hAnsi="Arial"/>
          <w:sz w:val="14"/>
          <w:szCs w:val="14"/>
          <w:color w:val="231F20"/>
        </w:rPr>
        <w:t>Łì§··Ł</w:t>
      </w:r>
      <w:r>
        <w:rPr>
          <w:rFonts w:ascii="PMingLiU" w:cs="PMingLiU" w:eastAsia="PMingLiU" w:hAnsi="PMingLiU"/>
          <w:sz w:val="14"/>
          <w:szCs w:val="14"/>
          <w:color w:val="231F20"/>
        </w:rPr>
        <w:t></w:t>
      </w:r>
      <w:r>
        <w:rPr>
          <w:rFonts w:ascii="Arial" w:cs="Arial" w:eastAsia="Arial" w:hAnsi="Arial"/>
          <w:sz w:val="14"/>
          <w:szCs w:val="14"/>
          <w:color w:val="231F20"/>
        </w:rPr>
        <w:t>Ï</w:t>
      </w:r>
      <w:r>
        <w:rPr>
          <w:rFonts w:ascii="PMingLiU" w:cs="PMingLiU" w:eastAsia="PMingLiU" w:hAnsi="PMingLiU"/>
          <w:sz w:val="14"/>
          <w:szCs w:val="14"/>
          <w:color w:val="231F20"/>
        </w:rPr>
        <w:t></w:t>
      </w:r>
      <w:r>
        <w:rPr>
          <w:rFonts w:ascii="Arial" w:cs="Arial" w:eastAsia="Arial" w:hAnsi="Arial"/>
          <w:sz w:val="14"/>
          <w:szCs w:val="14"/>
          <w:color w:val="231F20"/>
        </w:rPr>
        <w:t>¾ŁÄàÒŁ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¾ÜŁÒ</w:t>
      </w:r>
      <w:r>
        <w:rPr>
          <w:rFonts w:ascii="PMingLiU" w:cs="PMingLiU" w:eastAsia="PMingLiU" w:hAnsi="PMingLiU"/>
          <w:sz w:val="14"/>
          <w:szCs w:val="14"/>
          <w:color w:val="231F20"/>
        </w:rPr>
        <w:t></w:t>
      </w:r>
      <w:r>
        <w:rPr>
          <w:rFonts w:ascii="Arial" w:cs="Arial" w:eastAsia="Arial" w:hAnsi="Arial"/>
          <w:sz w:val="14"/>
          <w:szCs w:val="14"/>
          <w:color w:val="231F20"/>
        </w:rPr>
        <w:t>·~Ü§Ä¾Ö¥§ÏÖŅŁ</w:t>
      </w:r>
      <w:r>
        <w:rPr>
          <w:rFonts w:ascii="PMingLiU" w:cs="PMingLiU" w:eastAsia="PMingLiU" w:hAnsi="PMingLiU"/>
          <w:sz w:val="14"/>
          <w:szCs w:val="14"/>
          <w:color w:val="231F20"/>
        </w:rPr>
        <w:t></w:t>
      </w:r>
      <w:r>
        <w:rPr>
          <w:rFonts w:ascii="Arial" w:cs="Arial" w:eastAsia="Arial" w:hAnsi="Arial"/>
          <w:sz w:val="14"/>
          <w:szCs w:val="14"/>
          <w:color w:val="231F20"/>
        </w:rPr>
        <w:t>ñÏ~¾</w:t>
      </w:r>
      <w:r>
        <w:rPr>
          <w:rFonts w:ascii="PMingLiU" w:cs="PMingLiU" w:eastAsia="PMingLiU" w:hAnsi="PMingLiU"/>
          <w:sz w:val="14"/>
          <w:szCs w:val="14"/>
          <w:color w:val="231F20"/>
        </w:rPr>
        <w:t></w:t>
      </w:r>
      <w:r>
        <w:rPr>
          <w:rFonts w:ascii="Arial" w:cs="Arial" w:eastAsia="Arial" w:hAnsi="Arial"/>
          <w:sz w:val="14"/>
          <w:szCs w:val="14"/>
          <w:color w:val="231F20"/>
        </w:rPr>
        <w:t>ŁÄàÒŁÖÄ·àÜ§Ä¾Ł ÄÄÜÏÒ§¾ÜŅŁ~¾</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 xml:space="preserve">ŁÄàÒŁ </w:t>
      </w:r>
      <w:r>
        <w:rPr>
          <w:rFonts w:ascii="PMingLiU" w:cs="PMingLiU" w:eastAsia="PMingLiU" w:hAnsi="PMingLiU"/>
          <w:sz w:val="14"/>
          <w:szCs w:val="14"/>
          <w:color w:val="231F20"/>
        </w:rPr>
        <w:t/>
      </w:r>
      <w:r>
        <w:rPr>
          <w:rFonts w:ascii="Arial" w:cs="Arial" w:eastAsia="Arial" w:hAnsi="Arial"/>
          <w:sz w:val="14"/>
          <w:szCs w:val="14"/>
          <w:color w:val="231F20"/>
        </w:rPr>
        <w:t>*ŕĝÒÖÜŁ</w:t>
      </w:r>
      <w:r>
        <w:rPr>
          <w:rFonts w:ascii="PMingLiU" w:cs="PMingLiU" w:eastAsia="PMingLiU" w:hAnsi="PMingLiU"/>
          <w:sz w:val="14"/>
          <w:szCs w:val="14"/>
          <w:color w:val="231F20"/>
        </w:rPr>
        <w:t></w:t>
      </w:r>
      <w:r>
        <w:rPr>
          <w:rFonts w:ascii="Arial" w:cs="Arial" w:eastAsia="Arial" w:hAnsi="Arial"/>
          <w:sz w:val="14"/>
          <w:szCs w:val="14"/>
          <w:color w:val="231F20"/>
        </w:rPr>
        <w:t>~Ï~</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ÖŁÜÄŁ¥</w:t>
      </w:r>
      <w:r>
        <w:rPr>
          <w:rFonts w:ascii="PMingLiU" w:cs="PMingLiU" w:eastAsia="PMingLiU" w:hAnsi="PMingLiU"/>
          <w:sz w:val="14"/>
          <w:szCs w:val="14"/>
          <w:color w:val="231F20"/>
        </w:rPr>
        <w:t></w:t>
      </w:r>
      <w:r>
        <w:rPr>
          <w:rFonts w:ascii="Arial" w:cs="Arial" w:eastAsia="Arial" w:hAnsi="Arial"/>
          <w:sz w:val="14"/>
          <w:szCs w:val="14"/>
          <w:color w:val="231F20"/>
        </w:rPr>
        <w:t>·ÏŁ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¾ÜÖŁ~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Ò~Ü</w:t>
      </w:r>
      <w:r>
        <w:rPr>
          <w:rFonts w:ascii="PMingLiU" w:cs="PMingLiU" w:eastAsia="PMingLiU" w:hAnsi="PMingLiU"/>
          <w:sz w:val="14"/>
          <w:szCs w:val="14"/>
          <w:color w:val="231F20"/>
        </w:rPr>
        <w:t></w:t>
      </w:r>
      <w:r>
        <w:rPr>
          <w:rFonts w:ascii="Arial" w:cs="Arial" w:eastAsia="Arial" w:hAnsi="Arial"/>
          <w:sz w:val="14"/>
          <w:szCs w:val="14"/>
          <w:color w:val="231F20"/>
        </w:rPr>
        <w:t>ŁÜ¥</w:t>
      </w:r>
      <w:r>
        <w:rPr>
          <w:rFonts w:ascii="PMingLiU" w:cs="PMingLiU" w:eastAsia="PMingLiU" w:hAnsi="PMingLiU"/>
          <w:sz w:val="14"/>
          <w:szCs w:val="14"/>
          <w:color w:val="231F20"/>
        </w:rPr>
        <w:t></w:t>
      </w:r>
      <w:r>
        <w:rPr>
          <w:rFonts w:ascii="Arial" w:cs="Arial" w:eastAsia="Arial" w:hAnsi="Arial"/>
          <w:sz w:val="14"/>
          <w:szCs w:val="14"/>
          <w:color w:val="231F20"/>
        </w:rPr>
        <w:t>§ÒŁ½Ä</w:t>
      </w:r>
      <w:r>
        <w:rPr>
          <w:rFonts w:ascii="PMingLiU" w:cs="PMingLiU" w:eastAsia="PMingLiU" w:hAnsi="PMingLiU"/>
          <w:sz w:val="14"/>
          <w:szCs w:val="14"/>
          <w:color w:val="231F20"/>
        </w:rPr>
        <w:t></w:t>
      </w:r>
      <w:r>
        <w:rPr>
          <w:rFonts w:ascii="Arial" w:cs="Arial" w:eastAsia="Arial" w:hAnsi="Arial"/>
          <w:sz w:val="14"/>
          <w:szCs w:val="14"/>
          <w:color w:val="231F20"/>
        </w:rPr>
        <w:t>Ò¾§ø~Ü§Ä¾Ł~¡</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~Öń</w:t>
      </w:r>
    </w:p>
    <w:p>
      <w:pPr>
        <w:spacing w:after="0" w:line="249" w:lineRule="exact"/>
        <w:rPr>
          <w:sz w:val="20"/>
          <w:szCs w:val="20"/>
          <w:color w:val="auto"/>
        </w:rPr>
      </w:pPr>
    </w:p>
    <w:p>
      <w:pPr>
        <w:ind w:left="4"/>
        <w:spacing w:after="0" w:line="194" w:lineRule="exact"/>
        <w:rPr>
          <w:sz w:val="20"/>
          <w:szCs w:val="20"/>
          <w:color w:val="auto"/>
        </w:rPr>
      </w:pPr>
      <w:r>
        <w:rPr>
          <w:rFonts w:ascii="Arial" w:cs="Arial" w:eastAsia="Arial" w:hAnsi="Arial"/>
          <w:sz w:val="16"/>
          <w:szCs w:val="16"/>
          <w:color w:val="231F20"/>
        </w:rPr>
        <w:t>*¾ë</w:t>
      </w:r>
      <w:r>
        <w:rPr>
          <w:rFonts w:ascii="PMingLiU" w:cs="PMingLiU" w:eastAsia="PMingLiU" w:hAnsi="PMingLiU"/>
          <w:sz w:val="16"/>
          <w:szCs w:val="16"/>
          <w:color w:val="231F20"/>
        </w:rPr>
        <w:t></w:t>
      </w:r>
      <w:r>
        <w:rPr>
          <w:rFonts w:ascii="Arial" w:cs="Arial" w:eastAsia="Arial" w:hAnsi="Arial"/>
          <w:sz w:val="16"/>
          <w:szCs w:val="16"/>
          <w:color w:val="231F20"/>
        </w:rPr>
        <w:t>ÖÜŁ§¾Ł</w:t>
      </w:r>
      <w:r>
        <w:rPr>
          <w:rFonts w:ascii="PMingLiU" w:cs="PMingLiU" w:eastAsia="PMingLiU" w:hAnsi="PMingLiU"/>
          <w:sz w:val="16"/>
          <w:szCs w:val="16"/>
          <w:color w:val="231F20"/>
        </w:rPr>
        <w:t></w:t>
      </w:r>
      <w:r>
        <w:rPr>
          <w:rFonts w:ascii="Arial" w:cs="Arial" w:eastAsia="Arial" w:hAnsi="Arial"/>
          <w:sz w:val="16"/>
          <w:szCs w:val="16"/>
          <w:color w:val="231F20"/>
        </w:rPr>
        <w:t>à§·</w:t>
      </w:r>
      <w:r>
        <w:rPr>
          <w:rFonts w:ascii="PMingLiU" w:cs="PMingLiU" w:eastAsia="PMingLiU" w:hAnsi="PMingLiU"/>
          <w:sz w:val="16"/>
          <w:szCs w:val="16"/>
          <w:color w:val="231F20"/>
        </w:rPr>
        <w:t></w:t>
      </w:r>
      <w:r>
        <w:rPr>
          <w:rFonts w:ascii="Arial" w:cs="Arial" w:eastAsia="Arial" w:hAnsi="Arial"/>
          <w:sz w:val="16"/>
          <w:szCs w:val="16"/>
          <w:color w:val="231F20"/>
        </w:rPr>
        <w:t>§¾¡ŁÜÒà·òŁ</w:t>
      </w:r>
      <w:r>
        <w:rPr>
          <w:rFonts w:ascii="PMingLiU" w:cs="PMingLiU" w:eastAsia="PMingLiU" w:hAnsi="PMingLiU"/>
          <w:sz w:val="16"/>
          <w:szCs w:val="16"/>
          <w:color w:val="231F20"/>
        </w:rPr>
        <w:t></w:t>
      </w:r>
      <w:r>
        <w:rPr>
          <w:rFonts w:ascii="Arial" w:cs="Arial" w:eastAsia="Arial" w:hAnsi="Arial"/>
          <w:sz w:val="16"/>
          <w:szCs w:val="16"/>
          <w:color w:val="231F20"/>
        </w:rPr>
        <w:t xml:space="preserve">§  </w:t>
      </w:r>
      <w:r>
        <w:rPr>
          <w:rFonts w:ascii="PMingLiU" w:cs="PMingLiU" w:eastAsia="PMingLiU" w:hAnsi="PMingLiU"/>
          <w:sz w:val="16"/>
          <w:szCs w:val="16"/>
          <w:color w:val="231F20"/>
        </w:rPr>
        <w:t></w:t>
      </w:r>
      <w:r>
        <w:rPr>
          <w:rFonts w:ascii="Arial" w:cs="Arial" w:eastAsia="Arial" w:hAnsi="Arial"/>
          <w:sz w:val="16"/>
          <w:szCs w:val="16"/>
          <w:color w:val="231F20"/>
        </w:rPr>
        <w:t>Ò</w:t>
      </w:r>
      <w:r>
        <w:rPr>
          <w:rFonts w:ascii="PMingLiU" w:cs="PMingLiU" w:eastAsia="PMingLiU" w:hAnsi="PMingLiU"/>
          <w:sz w:val="16"/>
          <w:szCs w:val="16"/>
          <w:color w:val="231F20"/>
        </w:rPr>
        <w:t></w:t>
      </w:r>
      <w:r>
        <w:rPr>
          <w:rFonts w:ascii="Arial" w:cs="Arial" w:eastAsia="Arial" w:hAnsi="Arial"/>
          <w:sz w:val="16"/>
          <w:szCs w:val="16"/>
          <w:color w:val="231F20"/>
        </w:rPr>
        <w:t>¾Ü§~Ü</w:t>
      </w:r>
      <w:r>
        <w:rPr>
          <w:rFonts w:ascii="PMingLiU" w:cs="PMingLiU" w:eastAsia="PMingLiU" w:hAnsi="PMingLiU"/>
          <w:sz w:val="16"/>
          <w:szCs w:val="16"/>
          <w:color w:val="231F20"/>
        </w:rPr>
        <w:t></w:t>
      </w:r>
      <w:r>
        <w:rPr>
          <w:rFonts w:ascii="Arial" w:cs="Arial" w:eastAsia="Arial" w:hAnsi="Arial"/>
          <w:sz w:val="16"/>
          <w:szCs w:val="16"/>
          <w:color w:val="231F20"/>
        </w:rPr>
        <w:t>Ł</w:t>
      </w:r>
      <w:r>
        <w:rPr>
          <w:rFonts w:ascii="PMingLiU" w:cs="PMingLiU" w:eastAsia="PMingLiU" w:hAnsi="PMingLiU"/>
          <w:sz w:val="16"/>
          <w:szCs w:val="16"/>
          <w:color w:val="231F20"/>
        </w:rPr>
        <w:t></w:t>
      </w:r>
      <w:r>
        <w:rPr>
          <w:rFonts w:ascii="Arial" w:cs="Arial" w:eastAsia="Arial" w:hAnsi="Arial"/>
          <w:sz w:val="16"/>
          <w:szCs w:val="16"/>
          <w:color w:val="231F20"/>
        </w:rPr>
        <w:t>~Ï~</w:t>
      </w:r>
      <w:r>
        <w:rPr>
          <w:rFonts w:ascii="PMingLiU" w:cs="PMingLiU" w:eastAsia="PMingLiU" w:hAnsi="PMingLiU"/>
          <w:sz w:val="16"/>
          <w:szCs w:val="16"/>
          <w:color w:val="231F20"/>
        </w:rPr>
        <w:t></w:t>
      </w:r>
      <w:r>
        <w:rPr>
          <w:rFonts w:ascii="Arial" w:cs="Arial" w:eastAsia="Arial" w:hAnsi="Arial"/>
          <w:sz w:val="16"/>
          <w:szCs w:val="16"/>
          <w:color w:val="231F20"/>
        </w:rPr>
        <w:t>§·§Ü§</w:t>
      </w:r>
      <w:r>
        <w:rPr>
          <w:rFonts w:ascii="PMingLiU" w:cs="PMingLiU" w:eastAsia="PMingLiU" w:hAnsi="PMingLiU"/>
          <w:sz w:val="16"/>
          <w:szCs w:val="16"/>
          <w:color w:val="231F20"/>
        </w:rPr>
        <w:t></w:t>
      </w:r>
      <w:r>
        <w:rPr>
          <w:rFonts w:ascii="Arial" w:cs="Arial" w:eastAsia="Arial" w:hAnsi="Arial"/>
          <w:sz w:val="16"/>
          <w:szCs w:val="16"/>
          <w:color w:val="231F20"/>
        </w:rPr>
        <w:t>Öń</w:t>
      </w:r>
      <w:r>
        <w:rPr>
          <w:rFonts w:ascii="Arial" w:cs="Arial" w:eastAsia="Arial" w:hAnsi="Arial"/>
          <w:sz w:val="16"/>
          <w:szCs w:val="16"/>
          <w:color w:val="231F20"/>
        </w:rPr>
        <w:t>Ł]¥</w:t>
      </w:r>
      <w:r>
        <w:rPr>
          <w:rFonts w:ascii="PMingLiU" w:cs="PMingLiU" w:eastAsia="PMingLiU" w:hAnsi="PMingLiU"/>
          <w:sz w:val="16"/>
          <w:szCs w:val="16"/>
          <w:color w:val="231F20"/>
        </w:rPr>
        <w:t></w:t>
      </w:r>
      <w:r>
        <w:rPr>
          <w:rFonts w:ascii="Arial" w:cs="Arial" w:eastAsia="Arial" w:hAnsi="Arial"/>
          <w:sz w:val="16"/>
          <w:szCs w:val="16"/>
          <w:color w:val="231F20"/>
        </w:rPr>
        <w:t>Ł</w:t>
      </w:r>
      <w:r>
        <w:rPr>
          <w:rFonts w:ascii="PMingLiU" w:cs="PMingLiU" w:eastAsia="PMingLiU" w:hAnsi="PMingLiU"/>
          <w:sz w:val="16"/>
          <w:szCs w:val="16"/>
          <w:color w:val="231F20"/>
        </w:rPr>
        <w:t/>
      </w:r>
      <w:r>
        <w:rPr>
          <w:rFonts w:ascii="Arial" w:cs="Arial" w:eastAsia="Arial" w:hAnsi="Arial"/>
          <w:sz w:val="16"/>
          <w:szCs w:val="16"/>
          <w:color w:val="231F20"/>
        </w:rPr>
        <w:t>*ŁÖ</w:t>
      </w:r>
      <w:r>
        <w:rPr>
          <w:rFonts w:ascii="PMingLiU" w:cs="PMingLiU" w:eastAsia="PMingLiU" w:hAnsi="PMingLiU"/>
          <w:sz w:val="16"/>
          <w:szCs w:val="16"/>
          <w:color w:val="231F20"/>
        </w:rPr>
        <w:t></w:t>
      </w:r>
      <w:r>
        <w:rPr>
          <w:rFonts w:ascii="Arial" w:cs="Arial" w:eastAsia="Arial" w:hAnsi="Arial"/>
          <w:sz w:val="16"/>
          <w:szCs w:val="16"/>
          <w:color w:val="231F20"/>
        </w:rPr>
        <w:t>Òë§</w:t>
      </w:r>
      <w:r>
        <w:rPr>
          <w:rFonts w:ascii="PMingLiU" w:cs="PMingLiU" w:eastAsia="PMingLiU" w:hAnsi="PMingLiU"/>
          <w:sz w:val="16"/>
          <w:szCs w:val="16"/>
          <w:color w:val="231F20"/>
        </w:rPr>
        <w:t></w:t>
      </w:r>
      <w:r>
        <w:rPr>
          <w:rFonts w:ascii="Arial" w:cs="Arial" w:eastAsia="Arial" w:hAnsi="Arial"/>
          <w:sz w:val="16"/>
          <w:szCs w:val="16"/>
          <w:color w:val="231F20"/>
        </w:rPr>
        <w:t>ÖŁ½~Òµ</w:t>
      </w:r>
      <w:r>
        <w:rPr>
          <w:rFonts w:ascii="PMingLiU" w:cs="PMingLiU" w:eastAsia="PMingLiU" w:hAnsi="PMingLiU"/>
          <w:sz w:val="16"/>
          <w:szCs w:val="16"/>
          <w:color w:val="231F20"/>
        </w:rPr>
        <w:t></w:t>
      </w:r>
      <w:r>
        <w:rPr>
          <w:rFonts w:ascii="Arial" w:cs="Arial" w:eastAsia="Arial" w:hAnsi="Arial"/>
          <w:sz w:val="16"/>
          <w:szCs w:val="16"/>
          <w:color w:val="231F20"/>
        </w:rPr>
        <w:t>ÜŁ§ÖŁ</w:t>
      </w:r>
      <w:r>
        <w:rPr>
          <w:rFonts w:ascii="PMingLiU" w:cs="PMingLiU" w:eastAsia="PMingLiU" w:hAnsi="PMingLiU"/>
          <w:sz w:val="16"/>
          <w:szCs w:val="16"/>
          <w:color w:val="231F20"/>
        </w:rPr>
        <w:t></w:t>
      </w:r>
      <w:r>
        <w:rPr>
          <w:rFonts w:ascii="Arial" w:cs="Arial" w:eastAsia="Arial" w:hAnsi="Arial"/>
          <w:sz w:val="16"/>
          <w:szCs w:val="16"/>
          <w:color w:val="231F20"/>
        </w:rPr>
        <w:t>§¾¡Ł</w:t>
      </w:r>
      <w:r>
        <w:rPr>
          <w:rFonts w:ascii="PMingLiU" w:cs="PMingLiU" w:eastAsia="PMingLiU" w:hAnsi="PMingLiU"/>
          <w:sz w:val="16"/>
          <w:szCs w:val="16"/>
          <w:color w:val="231F20"/>
        </w:rPr>
        <w:t></w:t>
      </w:r>
      <w:r>
        <w:rPr>
          <w:rFonts w:ascii="Arial" w:cs="Arial" w:eastAsia="Arial" w:hAnsi="Arial"/>
          <w:sz w:val="16"/>
          <w:szCs w:val="16"/>
          <w:color w:val="231F20"/>
        </w:rPr>
        <w:t>ĝ¾</w:t>
      </w:r>
      <w:r>
        <w:rPr>
          <w:rFonts w:ascii="PMingLiU" w:cs="PMingLiU" w:eastAsia="PMingLiU" w:hAnsi="PMingLiU"/>
          <w:sz w:val="16"/>
          <w:szCs w:val="16"/>
          <w:color w:val="231F20"/>
        </w:rPr>
        <w:t></w:t>
      </w:r>
      <w:r>
        <w:rPr>
          <w:rFonts w:ascii="Arial" w:cs="Arial" w:eastAsia="Arial" w:hAnsi="Arial"/>
          <w:sz w:val="16"/>
          <w:szCs w:val="16"/>
          <w:color w:val="231F20"/>
        </w:rPr>
        <w:t>ŁÒ§¡¥ÜŁ¾ÄìŅŁ~¾</w:t>
      </w:r>
      <w:r>
        <w:rPr>
          <w:rFonts w:ascii="PMingLiU" w:cs="PMingLiU" w:eastAsia="PMingLiU" w:hAnsi="PMingLiU"/>
          <w:sz w:val="16"/>
          <w:szCs w:val="16"/>
          <w:color w:val="231F20"/>
        </w:rPr>
        <w:t></w:t>
      </w:r>
      <w:r>
        <w:rPr>
          <w:rFonts w:ascii="Arial" w:cs="Arial" w:eastAsia="Arial" w:hAnsi="Arial"/>
          <w:sz w:val="16"/>
          <w:szCs w:val="16"/>
          <w:color w:val="231F20"/>
        </w:rPr>
        <w:t>Łì</w:t>
      </w:r>
      <w:r>
        <w:rPr>
          <w:rFonts w:ascii="PMingLiU" w:cs="PMingLiU" w:eastAsia="PMingLiU" w:hAnsi="PMingLiU"/>
          <w:sz w:val="16"/>
          <w:szCs w:val="16"/>
          <w:color w:val="231F20"/>
        </w:rPr>
        <w:t></w:t>
      </w:r>
      <w:r>
        <w:rPr>
          <w:rFonts w:ascii="Arial" w:cs="Arial" w:eastAsia="Arial" w:hAnsi="Arial"/>
          <w:sz w:val="16"/>
          <w:szCs w:val="16"/>
          <w:color w:val="231F20"/>
        </w:rPr>
        <w:t>Ł~Ò</w:t>
      </w:r>
      <w:r>
        <w:rPr>
          <w:rFonts w:ascii="PMingLiU" w:cs="PMingLiU" w:eastAsia="PMingLiU" w:hAnsi="PMingLiU"/>
          <w:sz w:val="16"/>
          <w:szCs w:val="16"/>
          <w:color w:val="231F20"/>
        </w:rPr>
        <w:t></w:t>
      </w:r>
      <w:r>
        <w:rPr>
          <w:rFonts w:ascii="Arial" w:cs="Arial" w:eastAsia="Arial" w:hAnsi="Arial"/>
          <w:sz w:val="16"/>
          <w:szCs w:val="16"/>
          <w:color w:val="231F20"/>
        </w:rPr>
        <w:t>Ł¾ÄÜŁ</w:t>
      </w:r>
    </w:p>
    <w:p>
      <w:pPr>
        <w:spacing w:after="0" w:line="46" w:lineRule="exact"/>
        <w:rPr>
          <w:sz w:val="20"/>
          <w:szCs w:val="20"/>
          <w:color w:val="auto"/>
        </w:rPr>
      </w:pPr>
    </w:p>
    <w:p>
      <w:pPr>
        <w:ind w:left="4" w:right="300"/>
        <w:spacing w:after="0" w:line="237" w:lineRule="exact"/>
        <w:rPr>
          <w:sz w:val="20"/>
          <w:szCs w:val="20"/>
          <w:color w:val="auto"/>
        </w:rPr>
      </w:pPr>
      <w:r>
        <w:rPr>
          <w:rFonts w:ascii="Arial" w:cs="Arial" w:eastAsia="Arial" w:hAnsi="Arial"/>
          <w:sz w:val="14"/>
          <w:szCs w:val="14"/>
          <w:color w:val="231F20"/>
        </w:rPr>
        <w:t>ÖÏ</w:t>
      </w:r>
      <w:r>
        <w:rPr>
          <w:rFonts w:ascii="PMingLiU" w:cs="PMingLiU" w:eastAsia="PMingLiU" w:hAnsi="PMingLiU"/>
          <w:sz w:val="14"/>
          <w:szCs w:val="14"/>
          <w:color w:val="231F20"/>
        </w:rPr>
        <w:t></w:t>
      </w:r>
      <w:r>
        <w:rPr>
          <w:rFonts w:ascii="Arial" w:cs="Arial" w:eastAsia="Arial" w:hAnsi="Arial"/>
          <w:sz w:val="14"/>
          <w:szCs w:val="14"/>
          <w:color w:val="231F20"/>
        </w:rPr>
        <w:t>Ü~ÜÄÒÖńŁm</w:t>
      </w:r>
      <w:r>
        <w:rPr>
          <w:rFonts w:ascii="PMingLiU" w:cs="PMingLiU" w:eastAsia="PMingLiU" w:hAnsi="PMingLiU"/>
          <w:sz w:val="14"/>
          <w:szCs w:val="14"/>
          <w:color w:val="231F20"/>
        </w:rPr>
        <w:t></w:t>
      </w:r>
      <w:r>
        <w:rPr>
          <w:rFonts w:ascii="Arial" w:cs="Arial" w:eastAsia="Arial" w:hAnsi="Arial"/>
          <w:sz w:val="14"/>
          <w:szCs w:val="14"/>
          <w:color w:val="231F20"/>
        </w:rPr>
        <w:t>Łì§··Ł</w:t>
      </w:r>
      <w:r>
        <w:rPr>
          <w:rFonts w:ascii="PMingLiU" w:cs="PMingLiU" w:eastAsia="PMingLiU" w:hAnsi="PMingLiU"/>
          <w:sz w:val="14"/>
          <w:szCs w:val="14"/>
          <w:color w:val="231F20"/>
        </w:rPr>
        <w:t></w:t>
      </w:r>
      <w:r>
        <w:rPr>
          <w:rFonts w:ascii="Arial" w:cs="Arial" w:eastAsia="Arial" w:hAnsi="Arial"/>
          <w:sz w:val="14"/>
          <w:szCs w:val="14"/>
          <w:color w:val="231F20"/>
        </w:rPr>
        <w:t>Ä¾Ü§¾à</w:t>
      </w:r>
      <w:r>
        <w:rPr>
          <w:rFonts w:ascii="PMingLiU" w:cs="PMingLiU" w:eastAsia="PMingLiU" w:hAnsi="PMingLiU"/>
          <w:sz w:val="14"/>
          <w:szCs w:val="14"/>
          <w:color w:val="231F20"/>
        </w:rPr>
        <w:t></w:t>
      </w:r>
      <w:r>
        <w:rPr>
          <w:rFonts w:ascii="Arial" w:cs="Arial" w:eastAsia="Arial" w:hAnsi="Arial"/>
          <w:sz w:val="14"/>
          <w:szCs w:val="14"/>
          <w:color w:val="231F20"/>
        </w:rPr>
        <w:t>ŁÜÄŁ§¾ë</w:t>
      </w:r>
      <w:r>
        <w:rPr>
          <w:rFonts w:ascii="PMingLiU" w:cs="PMingLiU" w:eastAsia="PMingLiU" w:hAnsi="PMingLiU"/>
          <w:sz w:val="14"/>
          <w:szCs w:val="14"/>
          <w:color w:val="231F20"/>
        </w:rPr>
        <w:t></w:t>
      </w:r>
      <w:r>
        <w:rPr>
          <w:rFonts w:ascii="Arial" w:cs="Arial" w:eastAsia="Arial" w:hAnsi="Arial"/>
          <w:sz w:val="14"/>
          <w:szCs w:val="14"/>
          <w:color w:val="231F20"/>
        </w:rPr>
        <w:t>ÖÜŁ§¾ŁÄàÒŁ</w:t>
      </w:r>
      <w:r>
        <w:rPr>
          <w:rFonts w:ascii="PMingLiU" w:cs="PMingLiU" w:eastAsia="PMingLiU" w:hAnsi="PMingLiU"/>
          <w:sz w:val="14"/>
          <w:szCs w:val="14"/>
          <w:color w:val="231F20"/>
        </w:rPr>
        <w:t/>
      </w:r>
      <w:r>
        <w:rPr>
          <w:rFonts w:ascii="Arial" w:cs="Arial" w:eastAsia="Arial" w:hAnsi="Arial"/>
          <w:sz w:val="14"/>
          <w:szCs w:val="14"/>
          <w:color w:val="231F20"/>
        </w:rPr>
        <w:t>~Ü~ŁP·~Ü ÄÒ½ŅŁ*¾</w:t>
      </w:r>
      <w:r>
        <w:rPr>
          <w:rFonts w:ascii="PMingLiU" w:cs="PMingLiU" w:eastAsia="PMingLiU" w:hAnsi="PMingLiU"/>
          <w:sz w:val="14"/>
          <w:szCs w:val="14"/>
          <w:color w:val="231F20"/>
        </w:rPr>
        <w:t></w:t>
      </w:r>
      <w:r>
        <w:rPr>
          <w:rFonts w:ascii="Arial" w:cs="Arial" w:eastAsia="Arial" w:hAnsi="Arial"/>
          <w:sz w:val="14"/>
          <w:szCs w:val="14"/>
          <w:color w:val="231F20"/>
        </w:rPr>
        <w:t>àÖÜÒòŁWÄ·àÜ§Ä¾ÖŅŁ~¾</w:t>
      </w:r>
      <w:r>
        <w:rPr>
          <w:rFonts w:ascii="PMingLiU" w:cs="PMingLiU" w:eastAsia="PMingLiU" w:hAnsi="PMingLiU"/>
          <w:sz w:val="14"/>
          <w:szCs w:val="14"/>
          <w:color w:val="231F20"/>
        </w:rPr>
        <w:t></w:t>
      </w:r>
      <w:r>
        <w:rPr>
          <w:rFonts w:ascii="Arial" w:cs="Arial" w:eastAsia="Arial" w:hAnsi="Arial"/>
          <w:sz w:val="14"/>
          <w:szCs w:val="14"/>
          <w:color w:val="231F20"/>
        </w:rPr>
        <w:t>Ł¡ÄŕÜÄŕ½~Òµ</w:t>
      </w:r>
      <w:r>
        <w:rPr>
          <w:rFonts w:ascii="PMingLiU" w:cs="PMingLiU" w:eastAsia="PMingLiU" w:hAnsi="PMingLiU"/>
          <w:sz w:val="14"/>
          <w:szCs w:val="14"/>
          <w:color w:val="231F20"/>
        </w:rPr>
        <w:t></w:t>
      </w:r>
      <w:r>
        <w:rPr>
          <w:rFonts w:ascii="Arial" w:cs="Arial" w:eastAsia="Arial" w:hAnsi="Arial"/>
          <w:sz w:val="14"/>
          <w:szCs w:val="14"/>
          <w:color w:val="231F20"/>
        </w:rPr>
        <w:t>ÜŁ</w:t>
      </w:r>
      <w:r>
        <w:rPr>
          <w:rFonts w:ascii="PMingLiU" w:cs="PMingLiU" w:eastAsia="PMingLiU" w:hAnsi="PMingLiU"/>
          <w:sz w:val="14"/>
          <w:szCs w:val="14"/>
          <w:color w:val="231F20"/>
        </w:rPr>
        <w:t></w:t>
      </w:r>
      <w:r>
        <w:rPr>
          <w:rFonts w:ascii="Arial" w:cs="Arial" w:eastAsia="Arial" w:hAnsi="Arial"/>
          <w:sz w:val="14"/>
          <w:szCs w:val="14"/>
          <w:color w:val="231F20"/>
        </w:rPr>
        <w:t>~Ï~</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ÖŁì§Ü¥ŁÜ¥</w:t>
      </w:r>
      <w:r>
        <w:rPr>
          <w:rFonts w:ascii="PMingLiU" w:cs="PMingLiU" w:eastAsia="PMingLiU" w:hAnsi="PMingLiU"/>
          <w:sz w:val="14"/>
          <w:szCs w:val="14"/>
          <w:color w:val="231F20"/>
        </w:rPr>
        <w:t></w:t>
      </w:r>
      <w:r>
        <w:rPr>
          <w:rFonts w:ascii="Arial" w:cs="Arial" w:eastAsia="Arial" w:hAnsi="Arial"/>
          <w:sz w:val="14"/>
          <w:szCs w:val="14"/>
          <w:color w:val="231F20"/>
        </w:rPr>
        <w:t>ŁàÒ¡</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 xml:space="preserve">òŁ </w:t>
      </w:r>
      <w:r>
        <w:rPr>
          <w:rFonts w:ascii="Arial" w:cs="Arial" w:eastAsia="Arial" w:hAnsi="Arial"/>
          <w:sz w:val="14"/>
          <w:szCs w:val="14"/>
          <w:color w:val="231F20"/>
        </w:rPr>
        <w:t>and discipline that this moment demands. Central to this is evolving our value proposition from one centered on capacity to one centered on outcomes; helping clients not just access talent but accelerate their AI transformation through it.</w:t>
      </w:r>
    </w:p>
    <w:p>
      <w:pPr>
        <w:spacing w:after="0" w:line="249" w:lineRule="exact"/>
        <w:rPr>
          <w:sz w:val="20"/>
          <w:szCs w:val="20"/>
          <w:color w:val="auto"/>
        </w:rPr>
      </w:pPr>
    </w:p>
    <w:p>
      <w:pPr>
        <w:ind w:left="4" w:right="1000"/>
        <w:spacing w:after="0" w:line="237" w:lineRule="exact"/>
        <w:rPr>
          <w:sz w:val="20"/>
          <w:szCs w:val="20"/>
          <w:color w:val="auto"/>
        </w:rPr>
      </w:pPr>
      <w:r>
        <w:rPr>
          <w:rFonts w:ascii="Arial" w:cs="Arial" w:eastAsia="Arial" w:hAnsi="Arial"/>
          <w:sz w:val="14"/>
          <w:szCs w:val="14"/>
          <w:color w:val="231F20"/>
        </w:rPr>
        <w:t>m</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ŁÜ¥</w:t>
      </w:r>
      <w:r>
        <w:rPr>
          <w:rFonts w:ascii="PMingLiU" w:cs="PMingLiU" w:eastAsia="PMingLiU" w:hAnsi="PMingLiU"/>
          <w:sz w:val="14"/>
          <w:szCs w:val="14"/>
          <w:color w:val="231F20"/>
        </w:rPr>
        <w:t></w:t>
      </w:r>
      <w:r>
        <w:rPr>
          <w:rFonts w:ascii="Arial" w:cs="Arial" w:eastAsia="Arial" w:hAnsi="Arial"/>
          <w:sz w:val="14"/>
          <w:szCs w:val="14"/>
          <w:color w:val="231F20"/>
        </w:rPr>
        <w:t>ŁÖÜÒ~Ü</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Ü§Ä¾ÖŁÄ ŁĤĢĤħŁ¥~ë</w:t>
      </w:r>
      <w:r>
        <w:rPr>
          <w:rFonts w:ascii="PMingLiU" w:cs="PMingLiU" w:eastAsia="PMingLiU" w:hAnsi="PMingLiU"/>
          <w:sz w:val="14"/>
          <w:szCs w:val="14"/>
          <w:color w:val="231F20"/>
        </w:rPr>
        <w:t></w:t>
      </w:r>
      <w:r>
        <w:rPr>
          <w:rFonts w:ascii="Arial" w:cs="Arial" w:eastAsia="Arial" w:hAnsi="Arial"/>
          <w:sz w:val="14"/>
          <w:szCs w:val="14"/>
          <w:color w:val="231F20"/>
        </w:rPr>
        <w:t>ŁÏÄÖ§Ü§Ä¾</w:t>
      </w:r>
      <w:r>
        <w:rPr>
          <w:rFonts w:ascii="PMingLiU" w:cs="PMingLiU" w:eastAsia="PMingLiU" w:hAnsi="PMingLiU"/>
          <w:sz w:val="14"/>
          <w:szCs w:val="14"/>
          <w:color w:val="231F20"/>
        </w:rPr>
        <w:t></w:t>
      </w:r>
      <w:r>
        <w:rPr>
          <w:rFonts w:ascii="Arial" w:cs="Arial" w:eastAsia="Arial" w:hAnsi="Arial"/>
          <w:sz w:val="14"/>
          <w:szCs w:val="14"/>
          <w:color w:val="231F20"/>
        </w:rPr>
        <w:t>ŁàÖŁì</w:t>
      </w:r>
      <w:r>
        <w:rPr>
          <w:rFonts w:ascii="PMingLiU" w:cs="PMingLiU" w:eastAsia="PMingLiU" w:hAnsi="PMingLiU"/>
          <w:sz w:val="14"/>
          <w:szCs w:val="14"/>
          <w:color w:val="231F20"/>
        </w:rPr>
        <w:t></w:t>
      </w:r>
      <w:r>
        <w:rPr>
          <w:rFonts w:ascii="Arial" w:cs="Arial" w:eastAsia="Arial" w:hAnsi="Arial"/>
          <w:sz w:val="14"/>
          <w:szCs w:val="14"/>
          <w:color w:val="231F20"/>
        </w:rPr>
        <w:t>··ńŁEàÒŁÏ§Ï</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Ł§ÖŁ¡ÒÄì§¾¡ńŁEàÒŁ</w:t>
      </w:r>
      <w:r>
        <w:rPr>
          <w:rFonts w:ascii="PMingLiU" w:cs="PMingLiU" w:eastAsia="PMingLiU" w:hAnsi="PMingLiU"/>
          <w:sz w:val="14"/>
          <w:szCs w:val="14"/>
          <w:color w:val="231F20"/>
        </w:rPr>
        <w:t></w:t>
      </w:r>
      <w:r>
        <w:rPr>
          <w:rFonts w:ascii="Arial" w:cs="Arial" w:eastAsia="Arial" w:hAnsi="Arial"/>
          <w:sz w:val="14"/>
          <w:szCs w:val="14"/>
          <w:color w:val="231F20"/>
        </w:rPr>
        <w:t>ÄÄµ§¾¡ÖŁ½Ä½</w:t>
      </w:r>
      <w:r>
        <w:rPr>
          <w:rFonts w:ascii="PMingLiU" w:cs="PMingLiU" w:eastAsia="PMingLiU" w:hAnsi="PMingLiU"/>
          <w:sz w:val="14"/>
          <w:szCs w:val="14"/>
          <w:color w:val="231F20"/>
        </w:rPr>
        <w:t></w:t>
      </w:r>
      <w:r>
        <w:rPr>
          <w:rFonts w:ascii="Arial" w:cs="Arial" w:eastAsia="Arial" w:hAnsi="Arial"/>
          <w:sz w:val="14"/>
          <w:szCs w:val="14"/>
          <w:color w:val="231F20"/>
        </w:rPr>
        <w:t xml:space="preserve">¾Üà½Ł§ÖŁ </w:t>
      </w:r>
      <w:r>
        <w:rPr>
          <w:rFonts w:ascii="PMingLiU" w:cs="PMingLiU" w:eastAsia="PMingLiU" w:hAnsi="PMingLiU"/>
          <w:sz w:val="14"/>
          <w:szCs w:val="14"/>
          <w:color w:val="231F20"/>
        </w:rPr>
        <w:t></w:t>
      </w:r>
      <w:r>
        <w:rPr>
          <w:rFonts w:ascii="Arial" w:cs="Arial" w:eastAsia="Arial" w:hAnsi="Arial"/>
          <w:sz w:val="14"/>
          <w:szCs w:val="14"/>
          <w:color w:val="231F20"/>
        </w:rPr>
        <w:t>à§·</w:t>
      </w:r>
      <w:r>
        <w:rPr>
          <w:rFonts w:ascii="PMingLiU" w:cs="PMingLiU" w:eastAsia="PMingLiU" w:hAnsi="PMingLiU"/>
          <w:sz w:val="14"/>
          <w:szCs w:val="14"/>
          <w:color w:val="231F20"/>
        </w:rPr>
        <w:t></w:t>
      </w:r>
      <w:r>
        <w:rPr>
          <w:rFonts w:ascii="Arial" w:cs="Arial" w:eastAsia="Arial" w:hAnsi="Arial"/>
          <w:sz w:val="14"/>
          <w:szCs w:val="14"/>
          <w:color w:val="231F20"/>
        </w:rPr>
        <w:t>§¾¡ńŁEàÒŁÜ</w:t>
      </w:r>
      <w:r>
        <w:rPr>
          <w:rFonts w:ascii="PMingLiU" w:cs="PMingLiU" w:eastAsia="PMingLiU" w:hAnsi="PMingLiU"/>
          <w:sz w:val="14"/>
          <w:szCs w:val="14"/>
          <w:color w:val="231F20"/>
        </w:rPr>
        <w:t></w:t>
      </w:r>
      <w:r>
        <w:rPr>
          <w:rFonts w:ascii="Arial" w:cs="Arial" w:eastAsia="Arial" w:hAnsi="Arial"/>
          <w:sz w:val="14"/>
          <w:szCs w:val="14"/>
          <w:color w:val="231F20"/>
        </w:rPr>
        <w:t>~½Ł§ÖŁ~·§¡¾</w:t>
      </w:r>
      <w:r>
        <w:rPr>
          <w:rFonts w:ascii="PMingLiU" w:cs="PMingLiU" w:eastAsia="PMingLiU" w:hAnsi="PMingLiU"/>
          <w:sz w:val="14"/>
          <w:szCs w:val="14"/>
          <w:color w:val="231F20"/>
        </w:rPr>
        <w:t></w:t>
      </w:r>
      <w:r>
        <w:rPr>
          <w:rFonts w:ascii="Arial" w:cs="Arial" w:eastAsia="Arial" w:hAnsi="Arial"/>
          <w:sz w:val="14"/>
          <w:szCs w:val="14"/>
          <w:color w:val="231F20"/>
        </w:rPr>
        <w:t>ńŁ</w:t>
      </w:r>
      <w:r>
        <w:rPr>
          <w:rFonts w:ascii="PMingLiU" w:cs="PMingLiU" w:eastAsia="PMingLiU" w:hAnsi="PMingLiU"/>
          <w:sz w:val="14"/>
          <w:szCs w:val="14"/>
          <w:color w:val="231F20"/>
        </w:rPr>
        <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ŁÄàÒŁĝ¾~¾</w:t>
      </w:r>
      <w:r>
        <w:rPr>
          <w:rFonts w:ascii="PMingLiU" w:cs="PMingLiU" w:eastAsia="PMingLiU" w:hAnsi="PMingLiU"/>
          <w:sz w:val="14"/>
          <w:szCs w:val="14"/>
          <w:color w:val="231F20"/>
        </w:rPr>
        <w:t></w:t>
      </w:r>
      <w:r>
        <w:rPr>
          <w:rFonts w:ascii="Arial" w:cs="Arial" w:eastAsia="Arial" w:hAnsi="Arial"/>
          <w:sz w:val="14"/>
          <w:szCs w:val="14"/>
          <w:color w:val="231F20"/>
        </w:rPr>
        <w:t>§~·ŁÏÄÖ§Ü§Ä¾Ł¡§ë</w:t>
      </w:r>
      <w:r>
        <w:rPr>
          <w:rFonts w:ascii="PMingLiU" w:cs="PMingLiU" w:eastAsia="PMingLiU" w:hAnsi="PMingLiU"/>
          <w:sz w:val="14"/>
          <w:szCs w:val="14"/>
          <w:color w:val="231F20"/>
        </w:rPr>
        <w:t></w:t>
      </w:r>
      <w:r>
        <w:rPr>
          <w:rFonts w:ascii="Arial" w:cs="Arial" w:eastAsia="Arial" w:hAnsi="Arial"/>
          <w:sz w:val="14"/>
          <w:szCs w:val="14"/>
          <w:color w:val="231F20"/>
        </w:rPr>
        <w:t>ÖŁàÖŁÜ¥</w:t>
      </w:r>
      <w:r>
        <w:rPr>
          <w:rFonts w:ascii="PMingLiU" w:cs="PMingLiU" w:eastAsia="PMingLiU" w:hAnsi="PMingLiU"/>
          <w:sz w:val="14"/>
          <w:szCs w:val="14"/>
          <w:color w:val="231F20"/>
        </w:rPr>
        <w:t></w:t>
      </w:r>
      <w:r>
        <w:rPr>
          <w:rFonts w:ascii="Arial" w:cs="Arial" w:eastAsia="Arial" w:hAnsi="Arial"/>
          <w:sz w:val="14"/>
          <w:szCs w:val="14"/>
          <w:color w:val="231F20"/>
        </w:rPr>
        <w:t>ŁĞ</w:t>
      </w:r>
      <w:r>
        <w:rPr>
          <w:rFonts w:ascii="PMingLiU" w:cs="PMingLiU" w:eastAsia="PMingLiU" w:hAnsi="PMingLiU"/>
          <w:sz w:val="14"/>
          <w:szCs w:val="14"/>
          <w:color w:val="231F20"/>
        </w:rPr>
        <w:t></w:t>
      </w:r>
      <w:r>
        <w:rPr>
          <w:rFonts w:ascii="Arial" w:cs="Arial" w:eastAsia="Arial" w:hAnsi="Arial"/>
          <w:sz w:val="14"/>
          <w:szCs w:val="14"/>
          <w:color w:val="231F20"/>
        </w:rPr>
        <w:t>ñ§</w:t>
      </w:r>
      <w:r>
        <w:rPr>
          <w:rFonts w:ascii="PMingLiU" w:cs="PMingLiU" w:eastAsia="PMingLiU" w:hAnsi="PMingLiU"/>
          <w:sz w:val="14"/>
          <w:szCs w:val="14"/>
          <w:color w:val="231F20"/>
        </w:rPr>
        <w:t></w:t>
      </w:r>
      <w:r>
        <w:rPr>
          <w:rFonts w:ascii="Arial" w:cs="Arial" w:eastAsia="Arial" w:hAnsi="Arial"/>
          <w:sz w:val="14"/>
          <w:szCs w:val="14"/>
          <w:color w:val="231F20"/>
        </w:rPr>
        <w:t>§·§ÜòŁÜÄŁ½Äë</w:t>
      </w:r>
      <w:r>
        <w:rPr>
          <w:rFonts w:ascii="PMingLiU" w:cs="PMingLiU" w:eastAsia="PMingLiU" w:hAnsi="PMingLiU"/>
          <w:sz w:val="14"/>
          <w:szCs w:val="14"/>
          <w:color w:val="231F20"/>
        </w:rPr>
        <w:t></w:t>
      </w:r>
      <w:r>
        <w:rPr>
          <w:rFonts w:ascii="Arial" w:cs="Arial" w:eastAsia="Arial" w:hAnsi="Arial"/>
          <w:sz w:val="14"/>
          <w:szCs w:val="14"/>
          <w:color w:val="231F20"/>
        </w:rPr>
        <w:t>Łì§Ü¥Ł</w:t>
      </w:r>
      <w:r>
        <w:rPr>
          <w:rFonts w:ascii="PMingLiU" w:cs="PMingLiU" w:eastAsia="PMingLiU" w:hAnsi="PMingLiU"/>
          <w:sz w:val="14"/>
          <w:szCs w:val="14"/>
          <w:color w:val="231F20"/>
        </w:rPr>
        <w:t></w:t>
      </w:r>
      <w:r>
        <w:rPr>
          <w:rFonts w:ascii="Arial" w:cs="Arial" w:eastAsia="Arial" w:hAnsi="Arial"/>
          <w:sz w:val="14"/>
          <w:szCs w:val="14"/>
          <w:color w:val="231F20"/>
        </w:rPr>
        <w:t>Ä¾ë§</w:t>
      </w:r>
      <w:r>
        <w:rPr>
          <w:rFonts w:ascii="PMingLiU" w:cs="PMingLiU" w:eastAsia="PMingLiU" w:hAnsi="PMingLiU"/>
          <w:sz w:val="14"/>
          <w:szCs w:val="14"/>
          <w:color w:val="231F20"/>
        </w:rPr>
        <w:t></w:t>
      </w:r>
      <w:r>
        <w:rPr>
          <w:rFonts w:ascii="Arial" w:cs="Arial" w:eastAsia="Arial" w:hAnsi="Arial"/>
          <w:sz w:val="14"/>
          <w:szCs w:val="14"/>
          <w:color w:val="231F20"/>
        </w:rPr>
        <w:t>Ü§Ä¾ń</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26"/>
          <w:szCs w:val="26"/>
          <w:b w:val="1"/>
          <w:bCs w:val="1"/>
          <w:color w:val="10568C"/>
        </w:rPr>
        <w:t>In Closing</w:t>
      </w:r>
    </w:p>
    <w:p>
      <w:pPr>
        <w:spacing w:after="0" w:line="140" w:lineRule="exact"/>
        <w:rPr>
          <w:sz w:val="20"/>
          <w:szCs w:val="20"/>
          <w:color w:val="auto"/>
        </w:rPr>
      </w:pPr>
    </w:p>
    <w:p>
      <w:pPr>
        <w:ind w:left="4" w:right="480"/>
        <w:spacing w:after="0" w:line="293" w:lineRule="auto"/>
        <w:rPr>
          <w:sz w:val="20"/>
          <w:szCs w:val="20"/>
          <w:color w:val="auto"/>
        </w:rPr>
      </w:pPr>
      <w:r>
        <w:rPr>
          <w:rFonts w:ascii="Arial" w:cs="Arial" w:eastAsia="Arial" w:hAnsi="Arial"/>
          <w:sz w:val="18"/>
          <w:szCs w:val="18"/>
          <w:color w:val="231F20"/>
        </w:rPr>
        <w:t>None of what we accomplished in 2025, or what we aspire to achieve in 2026, is possible without the dedication of the Mastech Digital team, the support of our clients and partners, and the continued trust of our shareholders. I want to express my sincere appreciation to each of you.</w:t>
      </w:r>
    </w:p>
    <w:p>
      <w:pPr>
        <w:spacing w:after="0" w:line="202" w:lineRule="exact"/>
        <w:rPr>
          <w:sz w:val="20"/>
          <w:szCs w:val="20"/>
          <w:color w:val="auto"/>
        </w:rPr>
      </w:pPr>
    </w:p>
    <w:p>
      <w:pPr>
        <w:ind w:left="4"/>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ÖŁ*Ł¥~ë</w:t>
      </w:r>
      <w:r>
        <w:rPr>
          <w:rFonts w:ascii="PMingLiU" w:cs="PMingLiU" w:eastAsia="PMingLiU" w:hAnsi="PMingLiU"/>
          <w:sz w:val="15"/>
          <w:szCs w:val="15"/>
          <w:color w:val="231F20"/>
        </w:rPr>
        <w:t></w:t>
      </w:r>
      <w:r>
        <w:rPr>
          <w:rFonts w:ascii="Arial" w:cs="Arial" w:eastAsia="Arial" w:hAnsi="Arial"/>
          <w:sz w:val="15"/>
          <w:szCs w:val="15"/>
          <w:color w:val="231F20"/>
        </w:rPr>
        <w:t>ŁÖ~§</w:t>
      </w:r>
      <w:r>
        <w:rPr>
          <w:rFonts w:ascii="PMingLiU" w:cs="PMingLiU" w:eastAsia="PMingLiU" w:hAnsi="PMingLiU"/>
          <w:sz w:val="15"/>
          <w:szCs w:val="15"/>
          <w:color w:val="231F20"/>
        </w:rPr>
        <w:t></w:t>
      </w:r>
      <w:r>
        <w:rPr>
          <w:rFonts w:ascii="Arial" w:cs="Arial" w:eastAsia="Arial" w:hAnsi="Arial"/>
          <w:sz w:val="15"/>
          <w:szCs w:val="15"/>
          <w:color w:val="231F20"/>
        </w:rPr>
        <w:t>Ł ÒÄ½ŁÜ¥</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¡§¾¾§¾¡ņŁ¡ÒÄìÜ¥Ł§ÖŁÄ¾·òŁ½</w:t>
      </w:r>
      <w:r>
        <w:rPr>
          <w:rFonts w:ascii="PMingLiU" w:cs="PMingLiU" w:eastAsia="PMingLiU" w:hAnsi="PMingLiU"/>
          <w:sz w:val="15"/>
          <w:szCs w:val="15"/>
          <w:color w:val="231F20"/>
        </w:rPr>
        <w:t></w:t>
      </w:r>
      <w:r>
        <w:rPr>
          <w:rFonts w:ascii="Arial" w:cs="Arial" w:eastAsia="Arial" w:hAnsi="Arial"/>
          <w:sz w:val="15"/>
          <w:szCs w:val="15"/>
          <w:color w:val="231F20"/>
        </w:rPr>
        <w:t>~¾§¾¡ à·Łì¥</w:t>
      </w:r>
      <w:r>
        <w:rPr>
          <w:rFonts w:ascii="PMingLiU" w:cs="PMingLiU" w:eastAsia="PMingLiU" w:hAnsi="PMingLiU"/>
          <w:sz w:val="15"/>
          <w:szCs w:val="15"/>
          <w:color w:val="231F20"/>
        </w:rPr>
        <w:t></w:t>
      </w:r>
      <w:r>
        <w:rPr>
          <w:rFonts w:ascii="Arial" w:cs="Arial" w:eastAsia="Arial" w:hAnsi="Arial"/>
          <w:sz w:val="15"/>
          <w:szCs w:val="15"/>
          <w:color w:val="231F20"/>
        </w:rPr>
        <w:t>¾Ł§ÜŁ§ÖŁÖàÖÜ~§¾~</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Ł~¾</w:t>
      </w:r>
      <w:r>
        <w:rPr>
          <w:rFonts w:ascii="PMingLiU" w:cs="PMingLiU" w:eastAsia="PMingLiU" w:hAnsi="PMingLiU"/>
          <w:sz w:val="15"/>
          <w:szCs w:val="15"/>
          <w:color w:val="231F20"/>
        </w:rPr>
        <w:t></w:t>
      </w:r>
      <w:r>
        <w:rPr>
          <w:rFonts w:ascii="Arial" w:cs="Arial" w:eastAsia="Arial" w:hAnsi="Arial"/>
          <w:sz w:val="15"/>
          <w:szCs w:val="15"/>
          <w:color w:val="231F20"/>
        </w:rPr>
        <w:t>ŁÏÒÄĝÜ~</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ńŁm</w:t>
      </w:r>
      <w:r>
        <w:rPr>
          <w:rFonts w:ascii="PMingLiU" w:cs="PMingLiU" w:eastAsia="PMingLiU" w:hAnsi="PMingLiU"/>
          <w:sz w:val="15"/>
          <w:szCs w:val="15"/>
          <w:color w:val="231F20"/>
        </w:rPr>
        <w:t></w:t>
      </w:r>
      <w:r>
        <w:rPr>
          <w:rFonts w:ascii="Arial" w:cs="Arial" w:eastAsia="Arial" w:hAnsi="Arial"/>
          <w:sz w:val="15"/>
          <w:szCs w:val="15"/>
          <w:color w:val="231F20"/>
        </w:rPr>
        <w:t>Ł§¾Ü</w:t>
      </w:r>
      <w:r>
        <w:rPr>
          <w:rFonts w:ascii="PMingLiU" w:cs="PMingLiU" w:eastAsia="PMingLiU" w:hAnsi="PMingLiU"/>
          <w:sz w:val="15"/>
          <w:szCs w:val="15"/>
          <w:color w:val="231F20"/>
        </w:rPr>
        <w:t></w:t>
      </w:r>
      <w:r>
        <w:rPr>
          <w:rFonts w:ascii="Arial" w:cs="Arial" w:eastAsia="Arial" w:hAnsi="Arial"/>
          <w:sz w:val="15"/>
          <w:szCs w:val="15"/>
          <w:color w:val="231F20"/>
        </w:rPr>
        <w:t>¾</w:t>
      </w:r>
      <w:r>
        <w:rPr>
          <w:rFonts w:ascii="PMingLiU" w:cs="PMingLiU" w:eastAsia="PMingLiU" w:hAnsi="PMingLiU"/>
          <w:sz w:val="15"/>
          <w:szCs w:val="15"/>
          <w:color w:val="231F20"/>
        </w:rPr>
        <w:t></w:t>
      </w:r>
      <w:r>
        <w:rPr>
          <w:rFonts w:ascii="Arial" w:cs="Arial" w:eastAsia="Arial" w:hAnsi="Arial"/>
          <w:sz w:val="15"/>
          <w:szCs w:val="15"/>
          <w:color w:val="231F20"/>
        </w:rPr>
        <w:t>ŁÜÄŁ</w:t>
      </w:r>
      <w:r>
        <w:rPr>
          <w:rFonts w:ascii="PMingLiU" w:cs="PMingLiU" w:eastAsia="PMingLiU" w:hAnsi="PMingLiU"/>
          <w:sz w:val="15"/>
          <w:szCs w:val="15"/>
          <w:color w:val="231F20"/>
        </w:rPr>
        <w:t></w:t>
      </w:r>
      <w:r>
        <w:rPr>
          <w:rFonts w:ascii="Arial" w:cs="Arial" w:eastAsia="Arial" w:hAnsi="Arial"/>
          <w:sz w:val="15"/>
          <w:szCs w:val="15"/>
          <w:color w:val="231F20"/>
        </w:rPr>
        <w:t>Ò§ë</w:t>
      </w:r>
      <w:r>
        <w:rPr>
          <w:rFonts w:ascii="PMingLiU" w:cs="PMingLiU" w:eastAsia="PMingLiU" w:hAnsi="PMingLiU"/>
          <w:sz w:val="15"/>
          <w:szCs w:val="15"/>
          <w:color w:val="231F20"/>
        </w:rPr>
        <w:t></w:t>
      </w:r>
      <w:r>
        <w:rPr>
          <w:rFonts w:ascii="Arial" w:cs="Arial" w:eastAsia="Arial" w:hAnsi="Arial"/>
          <w:sz w:val="15"/>
          <w:szCs w:val="15"/>
          <w:color w:val="231F20"/>
        </w:rPr>
        <w:t>Ł</w:t>
      </w:r>
    </w:p>
    <w:p>
      <w:pPr>
        <w:spacing w:after="0" w:line="58" w:lineRule="exact"/>
        <w:rPr>
          <w:sz w:val="20"/>
          <w:szCs w:val="20"/>
          <w:color w:val="auto"/>
        </w:rPr>
      </w:pPr>
    </w:p>
    <w:p>
      <w:pPr>
        <w:ind w:left="4" w:right="380" w:hanging="4"/>
        <w:spacing w:after="0" w:line="237" w:lineRule="exact"/>
        <w:tabs>
          <w:tab w:leader="none" w:pos="168" w:val="left"/>
        </w:tabs>
        <w:numPr>
          <w:ilvl w:val="0"/>
          <w:numId w:val="2"/>
        </w:numPr>
        <w:rPr>
          <w:rFonts w:ascii="PMingLiU" w:cs="PMingLiU" w:eastAsia="PMingLiU" w:hAnsi="PMingLiU"/>
          <w:sz w:val="14"/>
          <w:szCs w:val="14"/>
          <w:color w:val="231F20"/>
        </w:rPr>
      </w:pPr>
      <w:r>
        <w:rPr>
          <w:rFonts w:ascii="Arial" w:cs="Arial" w:eastAsia="Arial" w:hAnsi="Arial"/>
          <w:sz w:val="14"/>
          <w:szCs w:val="14"/>
          <w:color w:val="231F20"/>
        </w:rPr>
        <w:t>ĝ</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òŁ~</w:t>
      </w:r>
      <w:r>
        <w:rPr>
          <w:rFonts w:ascii="PMingLiU" w:cs="PMingLiU" w:eastAsia="PMingLiU" w:hAnsi="PMingLiU"/>
          <w:sz w:val="14"/>
          <w:szCs w:val="14"/>
          <w:color w:val="231F20"/>
        </w:rPr>
        <w:t></w:t>
      </w:r>
      <w:r>
        <w:rPr>
          <w:rFonts w:ascii="Arial" w:cs="Arial" w:eastAsia="Arial" w:hAnsi="Arial"/>
          <w:sz w:val="14"/>
          <w:szCs w:val="14"/>
          <w:color w:val="231F20"/>
        </w:rPr>
        <w:t>ÒÄÖÖŁÄàÒŁÄÒ¡~¾§ø~Ü§Ä¾ŅŁÄÏ</w:t>
      </w:r>
      <w:r>
        <w:rPr>
          <w:rFonts w:ascii="PMingLiU" w:cs="PMingLiU" w:eastAsia="PMingLiU" w:hAnsi="PMingLiU"/>
          <w:sz w:val="14"/>
          <w:szCs w:val="14"/>
          <w:color w:val="231F20"/>
        </w:rPr>
        <w:t></w:t>
      </w:r>
      <w:r>
        <w:rPr>
          <w:rFonts w:ascii="Arial" w:cs="Arial" w:eastAsia="Arial" w:hAnsi="Arial"/>
          <w:sz w:val="14"/>
          <w:szCs w:val="14"/>
          <w:color w:val="231F20"/>
        </w:rPr>
        <w:t>Ò~Ü</w:t>
      </w:r>
      <w:r>
        <w:rPr>
          <w:rFonts w:ascii="PMingLiU" w:cs="PMingLiU" w:eastAsia="PMingLiU" w:hAnsi="PMingLiU"/>
          <w:sz w:val="14"/>
          <w:szCs w:val="14"/>
          <w:color w:val="231F20"/>
        </w:rPr>
        <w:t></w:t>
      </w:r>
      <w:r>
        <w:rPr>
          <w:rFonts w:ascii="Arial" w:cs="Arial" w:eastAsia="Arial" w:hAnsi="Arial"/>
          <w:sz w:val="14"/>
          <w:szCs w:val="14"/>
          <w:color w:val="231F20"/>
        </w:rPr>
        <w:t>Łì§Ü¥Ł~</w:t>
      </w:r>
      <w:r>
        <w:rPr>
          <w:rFonts w:ascii="PMingLiU" w:cs="PMingLiU" w:eastAsia="PMingLiU" w:hAnsi="PMingLiU"/>
          <w:sz w:val="14"/>
          <w:szCs w:val="14"/>
          <w:color w:val="231F20"/>
        </w:rPr>
        <w:t></w:t>
      </w:r>
      <w:r>
        <w:rPr>
          <w:rFonts w:ascii="Arial" w:cs="Arial" w:eastAsia="Arial" w:hAnsi="Arial"/>
          <w:sz w:val="14"/>
          <w:szCs w:val="14"/>
          <w:color w:val="231F20"/>
        </w:rPr>
        <w:t>Äà¾Ü~</w:t>
      </w:r>
      <w:r>
        <w:rPr>
          <w:rFonts w:ascii="PMingLiU" w:cs="PMingLiU" w:eastAsia="PMingLiU" w:hAnsi="PMingLiU"/>
          <w:sz w:val="14"/>
          <w:szCs w:val="14"/>
          <w:color w:val="231F20"/>
        </w:rPr>
        <w:t></w:t>
      </w:r>
      <w:r>
        <w:rPr>
          <w:rFonts w:ascii="Arial" w:cs="Arial" w:eastAsia="Arial" w:hAnsi="Arial"/>
          <w:sz w:val="14"/>
          <w:szCs w:val="14"/>
          <w:color w:val="231F20"/>
        </w:rPr>
        <w:t>§·§ÜòŅŁ~¾</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¾ÖàÒ</w:t>
      </w:r>
      <w:r>
        <w:rPr>
          <w:rFonts w:ascii="PMingLiU" w:cs="PMingLiU" w:eastAsia="PMingLiU" w:hAnsi="PMingLiU"/>
          <w:sz w:val="14"/>
          <w:szCs w:val="14"/>
          <w:color w:val="231F20"/>
        </w:rPr>
        <w:t></w:t>
      </w:r>
      <w:r>
        <w:rPr>
          <w:rFonts w:ascii="Arial" w:cs="Arial" w:eastAsia="Arial" w:hAnsi="Arial"/>
          <w:sz w:val="14"/>
          <w:szCs w:val="14"/>
          <w:color w:val="231F20"/>
        </w:rPr>
        <w:t>ŁÜ¥~ÜŁ</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ÒòŁ§¾ë</w:t>
      </w:r>
      <w:r>
        <w:rPr>
          <w:rFonts w:ascii="PMingLiU" w:cs="PMingLiU" w:eastAsia="PMingLiU" w:hAnsi="PMingLiU"/>
          <w:sz w:val="14"/>
          <w:szCs w:val="14"/>
          <w:color w:val="231F20"/>
        </w:rPr>
        <w:t></w:t>
      </w:r>
      <w:r>
        <w:rPr>
          <w:rFonts w:ascii="Arial" w:cs="Arial" w:eastAsia="Arial" w:hAnsi="Arial"/>
          <w:sz w:val="14"/>
          <w:szCs w:val="14"/>
          <w:color w:val="231F20"/>
        </w:rPr>
        <w:t>ÖÜ½</w:t>
      </w:r>
      <w:r>
        <w:rPr>
          <w:rFonts w:ascii="PMingLiU" w:cs="PMingLiU" w:eastAsia="PMingLiU" w:hAnsi="PMingLiU"/>
          <w:sz w:val="14"/>
          <w:szCs w:val="14"/>
          <w:color w:val="231F20"/>
        </w:rPr>
        <w:t></w:t>
      </w:r>
      <w:r>
        <w:rPr>
          <w:rFonts w:ascii="Arial" w:cs="Arial" w:eastAsia="Arial" w:hAnsi="Arial"/>
          <w:sz w:val="14"/>
          <w:szCs w:val="14"/>
          <w:color w:val="231F20"/>
        </w:rPr>
        <w:t>¾ÜŁì</w:t>
      </w:r>
      <w:r>
        <w:rPr>
          <w:rFonts w:ascii="PMingLiU" w:cs="PMingLiU" w:eastAsia="PMingLiU" w:hAnsi="PMingLiU"/>
          <w:sz w:val="14"/>
          <w:szCs w:val="14"/>
          <w:color w:val="231F20"/>
        </w:rPr>
        <w:t></w:t>
      </w:r>
      <w:r>
        <w:rPr>
          <w:rFonts w:ascii="Arial" w:cs="Arial" w:eastAsia="Arial" w:hAnsi="Arial"/>
          <w:sz w:val="14"/>
          <w:szCs w:val="14"/>
          <w:color w:val="231F20"/>
        </w:rPr>
        <w:t>Ł½~µ</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ÖŁ·~ÖÜ§¾¡Ł ë~·à</w:t>
      </w:r>
      <w:r>
        <w:rPr>
          <w:rFonts w:ascii="PMingLiU" w:cs="PMingLiU" w:eastAsia="PMingLiU" w:hAnsi="PMingLiU"/>
          <w:sz w:val="14"/>
          <w:szCs w:val="14"/>
          <w:color w:val="231F20"/>
        </w:rPr>
        <w:t></w:t>
      </w:r>
      <w:r>
        <w:rPr>
          <w:rFonts w:ascii="Arial" w:cs="Arial" w:eastAsia="Arial" w:hAnsi="Arial"/>
          <w:sz w:val="14"/>
          <w:szCs w:val="14"/>
          <w:color w:val="231F20"/>
        </w:rPr>
        <w:t>Ł ÄÒŁÄàÒŁ</w:t>
      </w:r>
      <w:r>
        <w:rPr>
          <w:rFonts w:ascii="PMingLiU" w:cs="PMingLiU" w:eastAsia="PMingLiU" w:hAnsi="PMingLiU"/>
          <w:sz w:val="14"/>
          <w:szCs w:val="14"/>
          <w:color w:val="231F20"/>
        </w:rPr>
        <w:t></w:t>
      </w:r>
      <w:r>
        <w:rPr>
          <w:rFonts w:ascii="Arial" w:cs="Arial" w:eastAsia="Arial" w:hAnsi="Arial"/>
          <w:sz w:val="14"/>
          <w:szCs w:val="14"/>
          <w:color w:val="231F20"/>
        </w:rPr>
        <w:t>àÖÜÄ½</w:t>
      </w:r>
      <w:r>
        <w:rPr>
          <w:rFonts w:ascii="PMingLiU" w:cs="PMingLiU" w:eastAsia="PMingLiU" w:hAnsi="PMingLiU"/>
          <w:sz w:val="14"/>
          <w:szCs w:val="14"/>
          <w:color w:val="231F20"/>
        </w:rPr>
        <w:t></w:t>
      </w:r>
      <w:r>
        <w:rPr>
          <w:rFonts w:ascii="Arial" w:cs="Arial" w:eastAsia="Arial" w:hAnsi="Arial"/>
          <w:sz w:val="14"/>
          <w:szCs w:val="14"/>
          <w:color w:val="231F20"/>
        </w:rPr>
        <w:t>ÒÖŅŁ</w:t>
      </w:r>
      <w:r>
        <w:rPr>
          <w:rFonts w:ascii="PMingLiU" w:cs="PMingLiU" w:eastAsia="PMingLiU" w:hAnsi="PMingLiU"/>
          <w:sz w:val="14"/>
          <w:szCs w:val="14"/>
          <w:color w:val="231F20"/>
        </w:rPr>
        <w:t></w:t>
      </w:r>
      <w:r>
        <w:rPr>
          <w:rFonts w:ascii="Arial" w:cs="Arial" w:eastAsia="Arial" w:hAnsi="Arial"/>
          <w:sz w:val="14"/>
          <w:szCs w:val="14"/>
          <w:color w:val="231F20"/>
        </w:rPr>
        <w:t>½Ï·Äò</w:t>
      </w:r>
      <w:r>
        <w:rPr>
          <w:rFonts w:ascii="PMingLiU" w:cs="PMingLiU" w:eastAsia="PMingLiU" w:hAnsi="PMingLiU"/>
          <w:sz w:val="14"/>
          <w:szCs w:val="14"/>
          <w:color w:val="231F20"/>
        </w:rPr>
        <w:t></w:t>
      </w:r>
      <w:r>
        <w:rPr>
          <w:rFonts w:ascii="Arial" w:cs="Arial" w:eastAsia="Arial" w:hAnsi="Arial"/>
          <w:sz w:val="14"/>
          <w:szCs w:val="14"/>
          <w:color w:val="231F20"/>
        </w:rPr>
        <w:t>ÖŅŁ~¾</w:t>
      </w:r>
      <w:r>
        <w:rPr>
          <w:rFonts w:ascii="PMingLiU" w:cs="PMingLiU" w:eastAsia="PMingLiU" w:hAnsi="PMingLiU"/>
          <w:sz w:val="14"/>
          <w:szCs w:val="14"/>
          <w:color w:val="231F20"/>
        </w:rPr>
        <w:t></w:t>
      </w:r>
      <w:r>
        <w:rPr>
          <w:rFonts w:ascii="Arial" w:cs="Arial" w:eastAsia="Arial" w:hAnsi="Arial"/>
          <w:sz w:val="14"/>
          <w:szCs w:val="14"/>
          <w:color w:val="231F20"/>
        </w:rPr>
        <w:t>ŁÖ¥~Ò</w:t>
      </w:r>
      <w:r>
        <w:rPr>
          <w:rFonts w:ascii="PMingLiU" w:cs="PMingLiU" w:eastAsia="PMingLiU" w:hAnsi="PMingLiU"/>
          <w:sz w:val="14"/>
          <w:szCs w:val="14"/>
          <w:color w:val="231F20"/>
        </w:rPr>
        <w:t></w:t>
      </w:r>
      <w:r>
        <w:rPr>
          <w:rFonts w:ascii="Arial" w:cs="Arial" w:eastAsia="Arial" w:hAnsi="Arial"/>
          <w:sz w:val="14"/>
          <w:szCs w:val="14"/>
          <w:color w:val="231F20"/>
        </w:rPr>
        <w:t>¥Ä·</w:t>
      </w:r>
      <w:r>
        <w:rPr>
          <w:rFonts w:ascii="PMingLiU" w:cs="PMingLiU" w:eastAsia="PMingLiU" w:hAnsi="PMingLiU"/>
          <w:sz w:val="14"/>
          <w:szCs w:val="14"/>
          <w:color w:val="231F20"/>
        </w:rPr>
        <w:t></w:t>
      </w:r>
      <w:r>
        <w:rPr>
          <w:rFonts w:ascii="Arial" w:cs="Arial" w:eastAsia="Arial" w:hAnsi="Arial"/>
          <w:sz w:val="14"/>
          <w:szCs w:val="14"/>
          <w:color w:val="231F20"/>
        </w:rPr>
        <w:t>ÒÖńŁ]¥~ÜŁ§ÖŁÜ¥</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Ä½½§Ü½</w:t>
      </w:r>
      <w:r>
        <w:rPr>
          <w:rFonts w:ascii="PMingLiU" w:cs="PMingLiU" w:eastAsia="PMingLiU" w:hAnsi="PMingLiU"/>
          <w:sz w:val="14"/>
          <w:szCs w:val="14"/>
          <w:color w:val="231F20"/>
        </w:rPr>
        <w:t></w:t>
      </w:r>
      <w:r>
        <w:rPr>
          <w:rFonts w:ascii="Arial" w:cs="Arial" w:eastAsia="Arial" w:hAnsi="Arial"/>
          <w:sz w:val="14"/>
          <w:szCs w:val="14"/>
          <w:color w:val="231F20"/>
        </w:rPr>
        <w:t>¾ÜŁ*Ł½~</w:t>
      </w:r>
      <w:r>
        <w:rPr>
          <w:rFonts w:ascii="PMingLiU" w:cs="PMingLiU" w:eastAsia="PMingLiU" w:hAnsi="PMingLiU"/>
          <w:sz w:val="14"/>
          <w:szCs w:val="14"/>
          <w:color w:val="231F20"/>
        </w:rPr>
        <w:t></w:t>
      </w:r>
      <w:r>
        <w:rPr>
          <w:rFonts w:ascii="Arial" w:cs="Arial" w:eastAsia="Arial" w:hAnsi="Arial"/>
          <w:sz w:val="14"/>
          <w:szCs w:val="14"/>
          <w:color w:val="231F20"/>
        </w:rPr>
        <w:t>ŁÄ¾Ł½òŁĝÒÖÜŁ</w:t>
      </w:r>
      <w:r>
        <w:rPr>
          <w:rFonts w:ascii="PMingLiU" w:cs="PMingLiU" w:eastAsia="PMingLiU" w:hAnsi="PMingLiU"/>
          <w:sz w:val="14"/>
          <w:szCs w:val="14"/>
          <w:color w:val="231F20"/>
        </w:rPr>
        <w:t></w:t>
      </w:r>
      <w:r>
        <w:rPr>
          <w:rFonts w:ascii="Arial" w:cs="Arial" w:eastAsia="Arial" w:hAnsi="Arial"/>
          <w:sz w:val="14"/>
          <w:szCs w:val="14"/>
          <w:color w:val="231F20"/>
        </w:rPr>
        <w:t>~òŁ~ÖŁ</w:t>
      </w:r>
      <w:r>
        <w:rPr>
          <w:rFonts w:ascii="PMingLiU" w:cs="PMingLiU" w:eastAsia="PMingLiU" w:hAnsi="PMingLiU"/>
          <w:sz w:val="14"/>
          <w:szCs w:val="14"/>
          <w:color w:val="231F20"/>
        </w:rPr>
        <w:t/>
      </w:r>
      <w:r>
        <w:rPr>
          <w:rFonts w:ascii="Arial" w:cs="Arial" w:eastAsia="Arial" w:hAnsi="Arial"/>
          <w:sz w:val="14"/>
          <w:szCs w:val="14"/>
          <w:color w:val="231F20"/>
        </w:rPr>
        <w:t>EŅŁ~¾</w:t>
      </w:r>
      <w:r>
        <w:rPr>
          <w:rFonts w:ascii="PMingLiU" w:cs="PMingLiU" w:eastAsia="PMingLiU" w:hAnsi="PMingLiU"/>
          <w:sz w:val="14"/>
          <w:szCs w:val="14"/>
          <w:color w:val="231F20"/>
        </w:rPr>
        <w:t></w:t>
      </w:r>
      <w:r>
        <w:rPr>
          <w:rFonts w:ascii="Arial" w:cs="Arial" w:eastAsia="Arial" w:hAnsi="Arial"/>
          <w:sz w:val="14"/>
          <w:szCs w:val="14"/>
          <w:color w:val="231F20"/>
        </w:rPr>
        <w:t>ŁÄ¾</w:t>
      </w:r>
      <w:r>
        <w:rPr>
          <w:rFonts w:ascii="PMingLiU" w:cs="PMingLiU" w:eastAsia="PMingLiU" w:hAnsi="PMingLiU"/>
          <w:sz w:val="14"/>
          <w:szCs w:val="14"/>
          <w:color w:val="231F20"/>
        </w:rPr>
        <w:t></w:t>
      </w:r>
      <w:r>
        <w:rPr>
          <w:rFonts w:ascii="Arial" w:cs="Arial" w:eastAsia="Arial" w:hAnsi="Arial"/>
          <w:sz w:val="14"/>
          <w:szCs w:val="14"/>
          <w:color w:val="231F20"/>
        </w:rPr>
        <w:t xml:space="preserve">ŁÜ¥~ÜŁ*Ł </w:t>
      </w:r>
      <w:r>
        <w:rPr>
          <w:rFonts w:ascii="Arial" w:cs="Arial" w:eastAsia="Arial" w:hAnsi="Arial"/>
          <w:sz w:val="14"/>
          <w:szCs w:val="14"/>
          <w:color w:val="231F20"/>
        </w:rPr>
        <w:t>reiterate to you today.</w:t>
      </w:r>
    </w:p>
    <w:p>
      <w:pPr>
        <w:spacing w:after="0" w:line="249" w:lineRule="exact"/>
        <w:rPr>
          <w:sz w:val="20"/>
          <w:szCs w:val="20"/>
          <w:color w:val="auto"/>
        </w:rPr>
      </w:pPr>
    </w:p>
    <w:p>
      <w:pPr>
        <w:ind w:left="4"/>
        <w:spacing w:after="0"/>
        <w:rPr>
          <w:sz w:val="20"/>
          <w:szCs w:val="20"/>
          <w:color w:val="auto"/>
        </w:rPr>
      </w:pPr>
      <w:r>
        <w:rPr>
          <w:rFonts w:ascii="Arial" w:cs="Arial" w:eastAsia="Arial" w:hAnsi="Arial"/>
          <w:sz w:val="18"/>
          <w:szCs w:val="18"/>
          <w:color w:val="231F20"/>
        </w:rPr>
        <w:t>I look forward to reporting on our progress.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spacing w:after="0"/>
        <w:rPr>
          <w:sz w:val="20"/>
          <w:szCs w:val="20"/>
          <w:color w:val="auto"/>
        </w:rPr>
      </w:pPr>
      <w:r>
        <w:rPr>
          <w:rFonts w:ascii="Arial" w:cs="Arial" w:eastAsia="Arial" w:hAnsi="Arial"/>
          <w:sz w:val="18"/>
          <w:szCs w:val="18"/>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920750" cy="250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0750" cy="25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231F20"/>
        </w:rPr>
        <w:t>Nirav Patel</w:t>
      </w:r>
    </w:p>
    <w:p>
      <w:pPr>
        <w:spacing w:after="0" w:line="33" w:lineRule="exact"/>
        <w:rPr>
          <w:sz w:val="20"/>
          <w:szCs w:val="20"/>
          <w:color w:val="auto"/>
        </w:rPr>
      </w:pPr>
    </w:p>
    <w:p>
      <w:pPr>
        <w:ind w:left="4"/>
        <w:spacing w:after="0" w:line="219" w:lineRule="exact"/>
        <w:rPr>
          <w:sz w:val="20"/>
          <w:szCs w:val="20"/>
          <w:color w:val="auto"/>
        </w:rPr>
      </w:pPr>
      <w:r>
        <w:rPr>
          <w:rFonts w:ascii="Arial" w:cs="Arial" w:eastAsia="Arial" w:hAnsi="Arial"/>
          <w:sz w:val="18"/>
          <w:szCs w:val="18"/>
          <w:color w:val="231F20"/>
        </w:rPr>
        <w:t>PÒ</w:t>
      </w:r>
      <w:r>
        <w:rPr>
          <w:rFonts w:ascii="PMingLiU" w:cs="PMingLiU" w:eastAsia="PMingLiU" w:hAnsi="PMingLiU"/>
          <w:sz w:val="18"/>
          <w:szCs w:val="18"/>
          <w:color w:val="231F20"/>
        </w:rPr>
        <w:t></w:t>
      </w:r>
      <w:r>
        <w:rPr>
          <w:rFonts w:ascii="Arial" w:cs="Arial" w:eastAsia="Arial" w:hAnsi="Arial"/>
          <w:sz w:val="18"/>
          <w:szCs w:val="18"/>
          <w:color w:val="231F20"/>
        </w:rPr>
        <w:t>Ö§</w:t>
      </w:r>
      <w:r>
        <w:rPr>
          <w:rFonts w:ascii="PMingLiU" w:cs="PMingLiU" w:eastAsia="PMingLiU" w:hAnsi="PMingLiU"/>
          <w:sz w:val="18"/>
          <w:szCs w:val="18"/>
          <w:color w:val="231F20"/>
        </w:rPr>
        <w:t></w:t>
      </w:r>
      <w:r>
        <w:rPr>
          <w:rFonts w:ascii="Arial" w:cs="Arial" w:eastAsia="Arial" w:hAnsi="Arial"/>
          <w:sz w:val="18"/>
          <w:szCs w:val="18"/>
          <w:color w:val="231F20"/>
        </w:rPr>
        <w:t>¾ÜŁŵŁ</w:t>
      </w:r>
      <w:r>
        <w:rPr>
          <w:rFonts w:ascii="PMingLiU" w:cs="PMingLiU" w:eastAsia="PMingLiU" w:hAnsi="PMingLiU"/>
          <w:sz w:val="18"/>
          <w:szCs w:val="18"/>
          <w:color w:val="231F20"/>
        </w:rPr>
        <w:t/>
      </w:r>
      <w:r>
        <w:rPr>
          <w:rFonts w:ascii="Arial" w:cs="Arial" w:eastAsia="Arial" w:hAnsi="Arial"/>
          <w:sz w:val="18"/>
          <w:szCs w:val="18"/>
          <w:color w:val="231F20"/>
        </w:rPr>
        <w:t>¥§</w:t>
      </w:r>
      <w:r>
        <w:rPr>
          <w:rFonts w:ascii="PMingLiU" w:cs="PMingLiU" w:eastAsia="PMingLiU" w:hAnsi="PMingLiU"/>
          <w:sz w:val="18"/>
          <w:szCs w:val="18"/>
          <w:color w:val="231F20"/>
        </w:rPr>
        <w:t></w:t>
      </w:r>
      <w:r>
        <w:rPr>
          <w:rFonts w:ascii="Arial" w:cs="Arial" w:eastAsia="Arial" w:hAnsi="Arial"/>
          <w:sz w:val="18"/>
          <w:szCs w:val="18"/>
          <w:color w:val="231F20"/>
        </w:rPr>
        <w:t xml:space="preserve"> Ł</w:t>
      </w:r>
      <w:r>
        <w:rPr>
          <w:rFonts w:ascii="PMingLiU" w:cs="PMingLiU" w:eastAsia="PMingLiU" w:hAnsi="PMingLiU"/>
          <w:sz w:val="18"/>
          <w:szCs w:val="18"/>
          <w:color w:val="231F20"/>
        </w:rPr>
        <w:t/>
      </w:r>
      <w:r>
        <w:rPr>
          <w:rFonts w:ascii="Arial" w:cs="Arial" w:eastAsia="Arial" w:hAnsi="Arial"/>
          <w:sz w:val="18"/>
          <w:szCs w:val="18"/>
          <w:color w:val="231F20"/>
        </w:rPr>
        <w:t>ñ</w:t>
      </w:r>
      <w:r>
        <w:rPr>
          <w:rFonts w:ascii="PMingLiU" w:cs="PMingLiU" w:eastAsia="PMingLiU" w:hAnsi="PMingLiU"/>
          <w:sz w:val="18"/>
          <w:szCs w:val="18"/>
          <w:color w:val="231F20"/>
        </w:rPr>
        <w:t></w:t>
      </w:r>
      <w:r>
        <w:rPr>
          <w:rFonts w:ascii="Arial" w:cs="Arial" w:eastAsia="Arial" w:hAnsi="Arial"/>
          <w:sz w:val="18"/>
          <w:szCs w:val="18"/>
          <w:color w:val="231F20"/>
        </w:rPr>
        <w:t>àÜ§ë</w:t>
      </w:r>
      <w:r>
        <w:rPr>
          <w:rFonts w:ascii="PMingLiU" w:cs="PMingLiU" w:eastAsia="PMingLiU" w:hAnsi="PMingLiU"/>
          <w:sz w:val="18"/>
          <w:szCs w:val="18"/>
          <w:color w:val="231F20"/>
        </w:rPr>
        <w:t></w:t>
      </w:r>
      <w:r>
        <w:rPr>
          <w:rFonts w:ascii="Arial" w:cs="Arial" w:eastAsia="Arial" w:hAnsi="Arial"/>
          <w:sz w:val="18"/>
          <w:szCs w:val="18"/>
          <w:color w:val="231F20"/>
        </w:rPr>
        <w:t>ŁE ĝ</w:t>
      </w:r>
      <w:r>
        <w:rPr>
          <w:rFonts w:ascii="PMingLiU" w:cs="PMingLiU" w:eastAsia="PMingLiU" w:hAnsi="PMingLiU"/>
          <w:sz w:val="18"/>
          <w:szCs w:val="18"/>
          <w:color w:val="231F20"/>
        </w:rPr>
        <w:t></w:t>
      </w:r>
      <w:r>
        <w:rPr>
          <w:rFonts w:ascii="Arial" w:cs="Arial" w:eastAsia="Arial" w:hAnsi="Arial"/>
          <w:sz w:val="18"/>
          <w:szCs w:val="18"/>
          <w:color w:val="231F20"/>
        </w:rPr>
        <w:t>Ò</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231F20"/>
        </w:rPr>
        <w:t>Mastech Digital, Inc.</w:t>
      </w:r>
    </w:p>
    <w:p>
      <w:pPr>
        <w:sectPr>
          <w:pgSz w:w="11880" w:h="15480" w:orient="portrait"/>
          <w:cols w:equalWidth="0" w:num="1">
            <w:col w:w="10784"/>
          </w:cols>
          <w:pgMar w:left="716" w:top="1112"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664"/>
        <w:spacing w:after="0"/>
        <w:rPr>
          <w:sz w:val="20"/>
          <w:szCs w:val="20"/>
          <w:color w:val="auto"/>
        </w:rPr>
      </w:pPr>
      <w:r>
        <w:rPr>
          <w:rFonts w:ascii="Arial" w:cs="Arial" w:eastAsia="Arial" w:hAnsi="Arial"/>
          <w:sz w:val="18"/>
          <w:szCs w:val="18"/>
          <w:color w:val="221E1F"/>
        </w:rPr>
        <w:t>6</w:t>
      </w:r>
    </w:p>
    <w:p>
      <w:pPr>
        <w:sectPr>
          <w:pgSz w:w="11880" w:h="15480" w:orient="portrait"/>
          <w:cols w:equalWidth="0" w:num="1">
            <w:col w:w="10784"/>
          </w:cols>
          <w:pgMar w:left="716" w:top="1112" w:right="380" w:bottom="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line="290" w:lineRule="auto"/>
        <w:rPr>
          <w:sz w:val="20"/>
          <w:szCs w:val="20"/>
          <w:color w:val="auto"/>
        </w:rPr>
      </w:pPr>
      <w:r>
        <w:rPr>
          <w:rFonts w:ascii="Arial" w:cs="Arial" w:eastAsia="Arial" w:hAnsi="Arial"/>
          <w:sz w:val="100"/>
          <w:szCs w:val="100"/>
          <w:b w:val="1"/>
          <w:bCs w:val="1"/>
          <w:color w:val="FFFFFF"/>
        </w:rPr>
        <w:t>Stock Performance Graph</w:t>
      </w:r>
    </w:p>
    <w:p>
      <w:pPr>
        <w:sectPr>
          <w:pgSz w:w="11880" w:h="15480" w:orient="portrait"/>
          <w:cols w:equalWidth="0" w:num="1">
            <w:col w:w="9360"/>
          </w:cols>
          <w:pgMar w:left="1260" w:top="1440" w:right="1260" w:bottom="1440" w:gutter="0" w:footer="0" w:header="0"/>
        </w:sectPr>
      </w:pPr>
    </w:p>
    <w:bookmarkStart w:id="9" w:name="page10"/>
    <w:bookmarkEnd w:id="9"/>
    <w:p>
      <w:pPr>
        <w:spacing w:after="0"/>
        <w:rPr>
          <w:sz w:val="20"/>
          <w:szCs w:val="20"/>
          <w:color w:val="auto"/>
        </w:rPr>
      </w:pPr>
      <w:r>
        <w:rPr>
          <w:rFonts w:ascii="Arial" w:cs="Arial" w:eastAsia="Arial" w:hAnsi="Arial"/>
          <w:sz w:val="26"/>
          <w:szCs w:val="26"/>
          <w:b w:val="1"/>
          <w:bCs w:val="1"/>
          <w:color w:val="10568C"/>
        </w:rPr>
        <w:drawing>
          <wp:anchor simplePos="0" relativeHeight="251657728" behindDoc="1" locked="0" layoutInCell="0" allowOverlap="1">
            <wp:simplePos x="0" y="0"/>
            <wp:positionH relativeFrom="page">
              <wp:posOffset>5868035</wp:posOffset>
            </wp:positionH>
            <wp:positionV relativeFrom="page">
              <wp:posOffset>220980</wp:posOffset>
            </wp:positionV>
            <wp:extent cx="123507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5075" cy="325755"/>
                    </a:xfrm>
                    <a:prstGeom prst="rect">
                      <a:avLst/>
                    </a:prstGeom>
                    <a:noFill/>
                  </pic:spPr>
                </pic:pic>
              </a:graphicData>
            </a:graphic>
          </wp:anchor>
        </w:drawing>
        <w:t>Stock Performance Graph</w:t>
      </w:r>
    </w:p>
    <w:p>
      <w:pPr>
        <w:spacing w:after="0" w:line="210" w:lineRule="exact"/>
        <w:rPr>
          <w:sz w:val="20"/>
          <w:szCs w:val="20"/>
          <w:color w:val="auto"/>
        </w:rPr>
      </w:pPr>
    </w:p>
    <w:p>
      <w:pPr>
        <w:ind w:right="540"/>
        <w:spacing w:after="0" w:line="238" w:lineRule="exact"/>
        <w:rPr>
          <w:sz w:val="20"/>
          <w:szCs w:val="20"/>
          <w:color w:val="auto"/>
        </w:rPr>
      </w:pP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Ł Ä··Äì§¾¡Ł¡Ò~Ï¥Ł</w:t>
      </w:r>
      <w:r>
        <w:rPr>
          <w:rFonts w:ascii="PMingLiU" w:cs="PMingLiU" w:eastAsia="PMingLiU" w:hAnsi="PMingLiU"/>
          <w:sz w:val="15"/>
          <w:szCs w:val="15"/>
          <w:color w:val="231F20"/>
        </w:rPr>
        <w:t></w:t>
      </w:r>
      <w:r>
        <w:rPr>
          <w:rFonts w:ascii="Arial" w:cs="Arial" w:eastAsia="Arial" w:hAnsi="Arial"/>
          <w:sz w:val="15"/>
          <w:szCs w:val="15"/>
          <w:color w:val="231F20"/>
        </w:rPr>
        <w:t>Ä½Ï~Ò</w:t>
      </w:r>
      <w:r>
        <w:rPr>
          <w:rFonts w:ascii="PMingLiU" w:cs="PMingLiU" w:eastAsia="PMingLiU" w:hAnsi="PMingLiU"/>
          <w:sz w:val="15"/>
          <w:szCs w:val="15"/>
          <w:color w:val="231F20"/>
        </w:rPr>
        <w:t></w:t>
      </w:r>
      <w:r>
        <w:rPr>
          <w:rFonts w:ascii="Arial" w:cs="Arial" w:eastAsia="Arial" w:hAnsi="Arial"/>
          <w:sz w:val="15"/>
          <w:szCs w:val="15"/>
          <w:color w:val="231F20"/>
        </w:rPr>
        <w:t>ÖŁÜ¥</w:t>
      </w:r>
      <w:r>
        <w:rPr>
          <w:rFonts w:ascii="PMingLiU" w:cs="PMingLiU" w:eastAsia="PMingLiU" w:hAnsi="PMingLiU"/>
          <w:sz w:val="15"/>
          <w:szCs w:val="15"/>
          <w:color w:val="231F20"/>
        </w:rPr>
        <w:t></w:t>
      </w:r>
      <w:r>
        <w:rPr>
          <w:rFonts w:ascii="Arial" w:cs="Arial" w:eastAsia="Arial" w:hAnsi="Arial"/>
          <w:sz w:val="15"/>
          <w:szCs w:val="15"/>
          <w:color w:val="231F20"/>
        </w:rPr>
        <w:t>Łĝë</w:t>
      </w:r>
      <w:r>
        <w:rPr>
          <w:rFonts w:ascii="PMingLiU" w:cs="PMingLiU" w:eastAsia="PMingLiU" w:hAnsi="PMingLiU"/>
          <w:sz w:val="15"/>
          <w:szCs w:val="15"/>
          <w:color w:val="231F20"/>
        </w:rPr>
        <w:t></w:t>
      </w:r>
      <w:r>
        <w:rPr>
          <w:rFonts w:ascii="Arial" w:cs="Arial" w:eastAsia="Arial" w:hAnsi="Arial"/>
          <w:sz w:val="15"/>
          <w:szCs w:val="15"/>
          <w:color w:val="231F20"/>
        </w:rPr>
        <w:t>ŕò</w:t>
      </w:r>
      <w:r>
        <w:rPr>
          <w:rFonts w:ascii="PMingLiU" w:cs="PMingLiU" w:eastAsia="PMingLiU" w:hAnsi="PMingLiU"/>
          <w:sz w:val="15"/>
          <w:szCs w:val="15"/>
          <w:color w:val="231F20"/>
        </w:rPr>
        <w:t></w:t>
      </w:r>
      <w:r>
        <w:rPr>
          <w:rFonts w:ascii="Arial" w:cs="Arial" w:eastAsia="Arial" w:hAnsi="Arial"/>
          <w:sz w:val="15"/>
          <w:szCs w:val="15"/>
          <w:color w:val="231F20"/>
        </w:rPr>
        <w:t>~ÒŁ</w:t>
      </w:r>
      <w:r>
        <w:rPr>
          <w:rFonts w:ascii="PMingLiU" w:cs="PMingLiU" w:eastAsia="PMingLiU" w:hAnsi="PMingLiU"/>
          <w:sz w:val="15"/>
          <w:szCs w:val="15"/>
          <w:color w:val="231F20"/>
        </w:rPr>
        <w:t></w:t>
      </w:r>
      <w:r>
        <w:rPr>
          <w:rFonts w:ascii="Arial" w:cs="Arial" w:eastAsia="Arial" w:hAnsi="Arial"/>
          <w:sz w:val="15"/>
          <w:szCs w:val="15"/>
          <w:color w:val="231F20"/>
        </w:rPr>
        <w:t>à½à·~Ü§ë</w:t>
      </w:r>
      <w:r>
        <w:rPr>
          <w:rFonts w:ascii="PMingLiU" w:cs="PMingLiU" w:eastAsia="PMingLiU" w:hAnsi="PMingLiU"/>
          <w:sz w:val="15"/>
          <w:szCs w:val="15"/>
          <w:color w:val="231F20"/>
        </w:rPr>
        <w:t></w:t>
      </w:r>
      <w:r>
        <w:rPr>
          <w:rFonts w:ascii="Arial" w:cs="Arial" w:eastAsia="Arial" w:hAnsi="Arial"/>
          <w:sz w:val="15"/>
          <w:szCs w:val="15"/>
          <w:color w:val="231F20"/>
        </w:rPr>
        <w:t>ŁÏ</w:t>
      </w:r>
      <w:r>
        <w:rPr>
          <w:rFonts w:ascii="PMingLiU" w:cs="PMingLiU" w:eastAsia="PMingLiU" w:hAnsi="PMingLiU"/>
          <w:sz w:val="15"/>
          <w:szCs w:val="15"/>
          <w:color w:val="231F20"/>
        </w:rPr>
        <w:t></w:t>
      </w:r>
      <w:r>
        <w:rPr>
          <w:rFonts w:ascii="Arial" w:cs="Arial" w:eastAsia="Arial" w:hAnsi="Arial"/>
          <w:sz w:val="15"/>
          <w:szCs w:val="15"/>
          <w:color w:val="231F20"/>
        </w:rPr>
        <w:t>Ò ÄÒ½~¾</w:t>
      </w:r>
      <w:r>
        <w:rPr>
          <w:rFonts w:ascii="PMingLiU" w:cs="PMingLiU" w:eastAsia="PMingLiU" w:hAnsi="PMingLiU"/>
          <w:sz w:val="15"/>
          <w:szCs w:val="15"/>
          <w:color w:val="231F20"/>
        </w:rPr>
        <w:t></w:t>
      </w:r>
      <w:r>
        <w:rPr>
          <w:rFonts w:ascii="Arial" w:cs="Arial" w:eastAsia="Arial" w:hAnsi="Arial"/>
          <w:sz w:val="15"/>
          <w:szCs w:val="15"/>
          <w:color w:val="231F20"/>
        </w:rPr>
        <w:t>ŁÄ ŁÄàÒŁ</w:t>
      </w:r>
      <w:r>
        <w:rPr>
          <w:rFonts w:ascii="PMingLiU" w:cs="PMingLiU" w:eastAsia="PMingLiU" w:hAnsi="PMingLiU"/>
          <w:sz w:val="15"/>
          <w:szCs w:val="15"/>
          <w:color w:val="231F20"/>
        </w:rPr>
        <w:t></w:t>
      </w:r>
      <w:r>
        <w:rPr>
          <w:rFonts w:ascii="Arial" w:cs="Arial" w:eastAsia="Arial" w:hAnsi="Arial"/>
          <w:sz w:val="15"/>
          <w:szCs w:val="15"/>
          <w:color w:val="231F20"/>
        </w:rPr>
        <w:t>Ä½½Ä¾ŁÖÜÄ</w:t>
      </w:r>
      <w:r>
        <w:rPr>
          <w:rFonts w:ascii="PMingLiU" w:cs="PMingLiU" w:eastAsia="PMingLiU" w:hAnsi="PMingLiU"/>
          <w:sz w:val="15"/>
          <w:szCs w:val="15"/>
          <w:color w:val="231F20"/>
        </w:rPr>
        <w:t></w:t>
      </w:r>
      <w:r>
        <w:rPr>
          <w:rFonts w:ascii="Arial" w:cs="Arial" w:eastAsia="Arial" w:hAnsi="Arial"/>
          <w:sz w:val="15"/>
          <w:szCs w:val="15"/>
          <w:color w:val="231F20"/>
        </w:rPr>
        <w:t>µŁì§Ü¥ŁÜ¥</w:t>
      </w:r>
      <w:r>
        <w:rPr>
          <w:rFonts w:ascii="PMingLiU" w:cs="PMingLiU" w:eastAsia="PMingLiU" w:hAnsi="PMingLiU"/>
          <w:sz w:val="15"/>
          <w:szCs w:val="15"/>
          <w:color w:val="231F20"/>
        </w:rPr>
        <w:t></w:t>
      </w:r>
      <w:r>
        <w:rPr>
          <w:rFonts w:ascii="Arial" w:cs="Arial" w:eastAsia="Arial" w:hAnsi="Arial"/>
          <w:sz w:val="15"/>
          <w:szCs w:val="15"/>
          <w:color w:val="231F20"/>
        </w:rPr>
        <w:t>ŁWÜ~¾</w:t>
      </w:r>
      <w:r>
        <w:rPr>
          <w:rFonts w:ascii="PMingLiU" w:cs="PMingLiU" w:eastAsia="PMingLiU" w:hAnsi="PMingLiU"/>
          <w:sz w:val="15"/>
          <w:szCs w:val="15"/>
          <w:color w:val="231F20"/>
        </w:rPr>
        <w:t></w:t>
      </w:r>
      <w:r>
        <w:rPr>
          <w:rFonts w:ascii="Arial" w:cs="Arial" w:eastAsia="Arial" w:hAnsi="Arial"/>
          <w:sz w:val="15"/>
          <w:szCs w:val="15"/>
          <w:color w:val="231F20"/>
        </w:rPr>
        <w:t>~Ò</w:t>
      </w:r>
      <w:r>
        <w:rPr>
          <w:rFonts w:ascii="PMingLiU" w:cs="PMingLiU" w:eastAsia="PMingLiU" w:hAnsi="PMingLiU"/>
          <w:sz w:val="15"/>
          <w:szCs w:val="15"/>
          <w:color w:val="231F20"/>
        </w:rPr>
        <w:t></w:t>
      </w:r>
      <w:r>
        <w:rPr>
          <w:rFonts w:ascii="Arial" w:cs="Arial" w:eastAsia="Arial" w:hAnsi="Arial"/>
          <w:sz w:val="15"/>
          <w:szCs w:val="15"/>
          <w:color w:val="231F20"/>
        </w:rPr>
        <w:t xml:space="preserve">ŁŵŁPÄÄÒŤÖŁ </w:t>
      </w:r>
      <w:r>
        <w:rPr>
          <w:rFonts w:ascii="PMingLiU" w:cs="PMingLiU" w:eastAsia="PMingLiU" w:hAnsi="PMingLiU"/>
          <w:sz w:val="15"/>
          <w:szCs w:val="15"/>
          <w:color w:val="231F20"/>
        </w:rPr>
        <w:t/>
      </w:r>
      <w:r>
        <w:rPr>
          <w:rFonts w:ascii="Arial" w:cs="Arial" w:eastAsia="Arial" w:hAnsi="Arial"/>
          <w:sz w:val="15"/>
          <w:szCs w:val="15"/>
          <w:color w:val="231F20"/>
        </w:rPr>
        <w:t>Ä½ÏÄÖ§Ü</w:t>
      </w:r>
      <w:r>
        <w:rPr>
          <w:rFonts w:ascii="PMingLiU" w:cs="PMingLiU" w:eastAsia="PMingLiU" w:hAnsi="PMingLiU"/>
          <w:sz w:val="15"/>
          <w:szCs w:val="15"/>
          <w:color w:val="231F20"/>
        </w:rPr>
        <w:t></w:t>
      </w:r>
      <w:r>
        <w:rPr>
          <w:rFonts w:ascii="Arial" w:cs="Arial" w:eastAsia="Arial" w:hAnsi="Arial"/>
          <w:sz w:val="15"/>
          <w:szCs w:val="15"/>
          <w:color w:val="231F20"/>
        </w:rPr>
        <w:t>ŁħĢĢŁWÜÄ</w:t>
      </w:r>
      <w:r>
        <w:rPr>
          <w:rFonts w:ascii="PMingLiU" w:cs="PMingLiU" w:eastAsia="PMingLiU" w:hAnsi="PMingLiU"/>
          <w:sz w:val="15"/>
          <w:szCs w:val="15"/>
          <w:color w:val="231F20"/>
        </w:rPr>
        <w:t></w:t>
      </w:r>
      <w:r>
        <w:rPr>
          <w:rFonts w:ascii="Arial" w:cs="Arial" w:eastAsia="Arial" w:hAnsi="Arial"/>
          <w:sz w:val="15"/>
          <w:szCs w:val="15"/>
          <w:color w:val="231F20"/>
        </w:rPr>
        <w:t>µŁ*¾</w:t>
      </w:r>
      <w:r>
        <w:rPr>
          <w:rFonts w:ascii="PMingLiU" w:cs="PMingLiU" w:eastAsia="PMingLiU" w:hAnsi="PMingLiU"/>
          <w:sz w:val="15"/>
          <w:szCs w:val="15"/>
          <w:color w:val="231F20"/>
        </w:rPr>
        <w:t></w:t>
      </w:r>
      <w:r>
        <w:rPr>
          <w:rFonts w:ascii="Arial" w:cs="Arial" w:eastAsia="Arial" w:hAnsi="Arial"/>
          <w:sz w:val="15"/>
          <w:szCs w:val="15"/>
          <w:color w:val="231F20"/>
        </w:rPr>
        <w:t>ñŁřWŵPŁħĢĢŚŁ~¾</w:t>
      </w:r>
      <w:r>
        <w:rPr>
          <w:rFonts w:ascii="PMingLiU" w:cs="PMingLiU" w:eastAsia="PMingLiU" w:hAnsi="PMingLiU"/>
          <w:sz w:val="15"/>
          <w:szCs w:val="15"/>
          <w:color w:val="231F20"/>
        </w:rPr>
        <w:t></w:t>
      </w:r>
      <w:r>
        <w:rPr>
          <w:rFonts w:ascii="Arial" w:cs="Arial" w:eastAsia="Arial" w:hAnsi="Arial"/>
          <w:sz w:val="15"/>
          <w:szCs w:val="15"/>
          <w:color w:val="231F20"/>
        </w:rPr>
        <w:t>Ł~ŁP</w:t>
      </w:r>
      <w:r>
        <w:rPr>
          <w:rFonts w:ascii="PMingLiU" w:cs="PMingLiU" w:eastAsia="PMingLiU" w:hAnsi="PMingLiU"/>
          <w:sz w:val="15"/>
          <w:szCs w:val="15"/>
          <w:color w:val="231F20"/>
        </w:rPr>
        <w:t></w:t>
      </w:r>
      <w:r>
        <w:rPr>
          <w:rFonts w:ascii="Arial" w:cs="Arial" w:eastAsia="Arial" w:hAnsi="Arial"/>
          <w:sz w:val="15"/>
          <w:szCs w:val="15"/>
          <w:color w:val="231F20"/>
        </w:rPr>
        <w:t>ÒŁ$ÒÄàÏŁ*¾</w:t>
      </w:r>
      <w:r>
        <w:rPr>
          <w:rFonts w:ascii="PMingLiU" w:cs="PMingLiU" w:eastAsia="PMingLiU" w:hAnsi="PMingLiU"/>
          <w:sz w:val="15"/>
          <w:szCs w:val="15"/>
          <w:color w:val="231F20"/>
        </w:rPr>
        <w:t></w:t>
      </w:r>
      <w:r>
        <w:rPr>
          <w:rFonts w:ascii="Arial" w:cs="Arial" w:eastAsia="Arial" w:hAnsi="Arial"/>
          <w:sz w:val="15"/>
          <w:szCs w:val="15"/>
          <w:color w:val="231F20"/>
        </w:rPr>
        <w:t>ñŁř</w:t>
      </w:r>
      <w:r>
        <w:rPr>
          <w:rFonts w:ascii="PMingLiU" w:cs="PMingLiU" w:eastAsia="PMingLiU" w:hAnsi="PMingLiU"/>
          <w:sz w:val="15"/>
          <w:szCs w:val="15"/>
          <w:color w:val="231F20"/>
        </w:rPr>
        <w:t></w:t>
      </w:r>
      <w:r>
        <w:rPr>
          <w:rFonts w:ascii="Arial" w:cs="Arial" w:eastAsia="Arial" w:hAnsi="Arial"/>
          <w:sz w:val="15"/>
          <w:szCs w:val="15"/>
          <w:color w:val="231F20"/>
        </w:rPr>
        <w:t>~Ï§Ü~·§ø~Ü§Ä¾Łì</w:t>
      </w:r>
      <w:r>
        <w:rPr>
          <w:rFonts w:ascii="PMingLiU" w:cs="PMingLiU" w:eastAsia="PMingLiU" w:hAnsi="PMingLiU"/>
          <w:sz w:val="15"/>
          <w:szCs w:val="15"/>
          <w:color w:val="231F20"/>
        </w:rPr>
        <w:t></w:t>
      </w: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ŚŁ ÒÄ½Ł</w:t>
      </w:r>
      <w:r>
        <w:rPr>
          <w:rFonts w:ascii="PMingLiU" w:cs="PMingLiU" w:eastAsia="PMingLiU" w:hAnsi="PMingLiU"/>
          <w:sz w:val="15"/>
          <w:szCs w:val="15"/>
          <w:color w:val="231F20"/>
        </w:rPr>
        <w:t></w:t>
      </w:r>
      <w:r>
        <w:rPr>
          <w:rFonts w:ascii="Arial" w:cs="Arial" w:eastAsia="Arial" w:hAnsi="Arial"/>
          <w:sz w:val="15"/>
          <w:szCs w:val="15"/>
          <w:color w:val="231F20"/>
        </w:rPr>
        <w:t>½</w:t>
      </w:r>
      <w:r>
        <w:rPr>
          <w:rFonts w:ascii="PMingLiU" w:cs="PMingLiU" w:eastAsia="PMingLiU" w:hAnsi="PMingLiU"/>
          <w:sz w:val="15"/>
          <w:szCs w:val="15"/>
          <w:color w:val="231F20"/>
        </w:rPr>
        <w:t></w:t>
      </w:r>
      <w:r>
        <w:rPr>
          <w:rFonts w:ascii="Arial" w:cs="Arial" w:eastAsia="Arial" w:hAnsi="Arial"/>
          <w:sz w:val="15"/>
          <w:szCs w:val="15"/>
          <w:color w:val="231F20"/>
        </w:rPr>
        <w:t xml:space="preserve">ÒŁĥģŅŁĤĢĤĢŅŁÜÄŁ </w:t>
      </w:r>
      <w:r>
        <w:rPr>
          <w:rFonts w:ascii="PMingLiU" w:cs="PMingLiU" w:eastAsia="PMingLiU" w:hAnsi="PMingLiU"/>
          <w:sz w:val="15"/>
          <w:szCs w:val="15"/>
          <w:color w:val="231F20"/>
        </w:rPr>
        <w:t></w:t>
      </w:r>
      <w:r>
        <w:rPr>
          <w:rFonts w:ascii="Arial" w:cs="Arial" w:eastAsia="Arial" w:hAnsi="Arial"/>
          <w:sz w:val="15"/>
          <w:szCs w:val="15"/>
          <w:color w:val="231F20"/>
        </w:rPr>
        <w:t>½</w:t>
      </w:r>
      <w:r>
        <w:rPr>
          <w:rFonts w:ascii="PMingLiU" w:cs="PMingLiU" w:eastAsia="PMingLiU" w:hAnsi="PMingLiU"/>
          <w:sz w:val="15"/>
          <w:szCs w:val="15"/>
          <w:color w:val="231F20"/>
        </w:rPr>
        <w:t></w:t>
      </w:r>
      <w:r>
        <w:rPr>
          <w:rFonts w:ascii="Arial" w:cs="Arial" w:eastAsia="Arial" w:hAnsi="Arial"/>
          <w:sz w:val="15"/>
          <w:szCs w:val="15"/>
          <w:color w:val="231F20"/>
        </w:rPr>
        <w:t>ÒŁĥģŅŁĤĢĤĦń</w:t>
      </w:r>
    </w:p>
    <w:p>
      <w:pPr>
        <w:spacing w:after="0" w:line="249"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EàÒŁP</w:t>
      </w:r>
      <w:r>
        <w:rPr>
          <w:rFonts w:ascii="PMingLiU" w:cs="PMingLiU" w:eastAsia="PMingLiU" w:hAnsi="PMingLiU"/>
          <w:sz w:val="14"/>
          <w:szCs w:val="14"/>
          <w:color w:val="231F20"/>
        </w:rPr>
        <w:t></w:t>
      </w:r>
      <w:r>
        <w:rPr>
          <w:rFonts w:ascii="Arial" w:cs="Arial" w:eastAsia="Arial" w:hAnsi="Arial"/>
          <w:sz w:val="14"/>
          <w:szCs w:val="14"/>
          <w:color w:val="231F20"/>
        </w:rPr>
        <w:t>ÒŁ$ÒÄàÏŁÄ Ł§¾ ÄÒ½~Ü§Ä¾ŁÜ</w:t>
      </w:r>
      <w:r>
        <w:rPr>
          <w:rFonts w:ascii="PMingLiU" w:cs="PMingLiU" w:eastAsia="PMingLiU" w:hAnsi="PMingLiU"/>
          <w:sz w:val="14"/>
          <w:szCs w:val="14"/>
          <w:color w:val="231F20"/>
        </w:rPr>
        <w:t></w:t>
      </w:r>
      <w:r>
        <w:rPr>
          <w:rFonts w:ascii="Arial" w:cs="Arial" w:eastAsia="Arial" w:hAnsi="Arial"/>
          <w:sz w:val="14"/>
          <w:szCs w:val="14"/>
          <w:color w:val="231F20"/>
        </w:rPr>
        <w:t>¥¾Ä·Ä¡òŁÖ</w:t>
      </w:r>
      <w:r>
        <w:rPr>
          <w:rFonts w:ascii="PMingLiU" w:cs="PMingLiU" w:eastAsia="PMingLiU" w:hAnsi="PMingLiU"/>
          <w:sz w:val="14"/>
          <w:szCs w:val="14"/>
          <w:color w:val="231F20"/>
        </w:rPr>
        <w:t></w:t>
      </w:r>
      <w:r>
        <w:rPr>
          <w:rFonts w:ascii="Arial" w:cs="Arial" w:eastAsia="Arial" w:hAnsi="Arial"/>
          <w:sz w:val="14"/>
          <w:szCs w:val="14"/>
          <w:color w:val="231F20"/>
        </w:rPr>
        <w:t>Òë§</w:t>
      </w:r>
      <w:r>
        <w:rPr>
          <w:rFonts w:ascii="PMingLiU" w:cs="PMingLiU" w:eastAsia="PMingLiU" w:hAnsi="PMingLiU"/>
          <w:sz w:val="14"/>
          <w:szCs w:val="14"/>
          <w:color w:val="231F20"/>
        </w:rPr>
        <w:t></w:t>
      </w:r>
      <w:r>
        <w:rPr>
          <w:rFonts w:ascii="Arial" w:cs="Arial" w:eastAsia="Arial" w:hAnsi="Arial"/>
          <w:sz w:val="14"/>
          <w:szCs w:val="14"/>
          <w:color w:val="231F20"/>
        </w:rPr>
        <w:t>ÖŁ</w:t>
      </w:r>
      <w:r>
        <w:rPr>
          <w:rFonts w:ascii="PMingLiU" w:cs="PMingLiU" w:eastAsia="PMingLiU" w:hAnsi="PMingLiU"/>
          <w:sz w:val="14"/>
          <w:szCs w:val="14"/>
          <w:color w:val="231F20"/>
        </w:rPr>
        <w:t></w:t>
      </w:r>
      <w:r>
        <w:rPr>
          <w:rFonts w:ascii="Arial" w:cs="Arial" w:eastAsia="Arial" w:hAnsi="Arial"/>
          <w:sz w:val="14"/>
          <w:szCs w:val="14"/>
          <w:color w:val="231F20"/>
        </w:rPr>
        <w:t>Ä½Ï~¾§</w:t>
      </w:r>
      <w:r>
        <w:rPr>
          <w:rFonts w:ascii="PMingLiU" w:cs="PMingLiU" w:eastAsia="PMingLiU" w:hAnsi="PMingLiU"/>
          <w:sz w:val="14"/>
          <w:szCs w:val="14"/>
          <w:color w:val="231F20"/>
        </w:rPr>
        <w:t></w:t>
      </w:r>
      <w:r>
        <w:rPr>
          <w:rFonts w:ascii="Arial" w:cs="Arial" w:eastAsia="Arial" w:hAnsi="Arial"/>
          <w:sz w:val="14"/>
          <w:szCs w:val="14"/>
          <w:color w:val="231F20"/>
        </w:rPr>
        <w:t>ÖŁ</w:t>
      </w:r>
      <w:r>
        <w:rPr>
          <w:rFonts w:ascii="PMingLiU" w:cs="PMingLiU" w:eastAsia="PMingLiU" w:hAnsi="PMingLiU"/>
          <w:sz w:val="14"/>
          <w:szCs w:val="14"/>
          <w:color w:val="231F20"/>
        </w:rPr>
        <w:t></w:t>
      </w:r>
      <w:r>
        <w:rPr>
          <w:rFonts w:ascii="Arial" w:cs="Arial" w:eastAsia="Arial" w:hAnsi="Arial"/>
          <w:sz w:val="14"/>
          <w:szCs w:val="14"/>
          <w:color w:val="231F20"/>
        </w:rPr>
        <w:t>Ä¾Ö§ÖÜÖŁÄ Ł6 ÄÒ</w:t>
      </w:r>
      <w:r>
        <w:rPr>
          <w:rFonts w:ascii="PMingLiU" w:cs="PMingLiU" w:eastAsia="PMingLiU" w:hAnsi="PMingLiU"/>
          <w:sz w:val="14"/>
          <w:szCs w:val="14"/>
          <w:color w:val="231F20"/>
        </w:rPr>
        <w:t></w:t>
      </w:r>
      <w:r>
        <w:rPr>
          <w:rFonts w:ascii="Arial" w:cs="Arial" w:eastAsia="Arial" w:hAnsi="Arial"/>
          <w:sz w:val="14"/>
          <w:szCs w:val="14"/>
          <w:color w:val="231F20"/>
        </w:rPr>
        <w:t>ŅŁ*¾</w:t>
      </w:r>
      <w:r>
        <w:rPr>
          <w:rFonts w:ascii="PMingLiU" w:cs="PMingLiU" w:eastAsia="PMingLiU" w:hAnsi="PMingLiU"/>
          <w:sz w:val="14"/>
          <w:szCs w:val="14"/>
          <w:color w:val="231F20"/>
        </w:rPr>
        <w:t></w:t>
      </w:r>
      <w:r>
        <w:rPr>
          <w:rFonts w:ascii="Arial" w:cs="Arial" w:eastAsia="Arial" w:hAnsi="Arial"/>
          <w:sz w:val="14"/>
          <w:szCs w:val="14"/>
          <w:color w:val="231F20"/>
        </w:rPr>
        <w:t>ŅŁ6</w:t>
      </w:r>
      <w:r>
        <w:rPr>
          <w:rFonts w:ascii="PMingLiU" w:cs="PMingLiU" w:eastAsia="PMingLiU" w:hAnsi="PMingLiU"/>
          <w:sz w:val="14"/>
          <w:szCs w:val="14"/>
          <w:color w:val="231F20"/>
        </w:rPr>
        <w:t></w:t>
      </w:r>
      <w:r>
        <w:rPr>
          <w:rFonts w:ascii="Arial" w:cs="Arial" w:eastAsia="Arial" w:hAnsi="Arial"/>
          <w:sz w:val="14"/>
          <w:szCs w:val="14"/>
          <w:color w:val="231F20"/>
        </w:rPr>
        <w:t>··òŁW</w:t>
      </w:r>
      <w:r>
        <w:rPr>
          <w:rFonts w:ascii="PMingLiU" w:cs="PMingLiU" w:eastAsia="PMingLiU" w:hAnsi="PMingLiU"/>
          <w:sz w:val="14"/>
          <w:szCs w:val="14"/>
          <w:color w:val="231F20"/>
        </w:rPr>
        <w:t></w:t>
      </w:r>
      <w:r>
        <w:rPr>
          <w:rFonts w:ascii="Arial" w:cs="Arial" w:eastAsia="Arial" w:hAnsi="Arial"/>
          <w:sz w:val="14"/>
          <w:szCs w:val="14"/>
          <w:color w:val="231F20"/>
        </w:rPr>
        <w:t>Òë§</w:t>
      </w:r>
      <w:r>
        <w:rPr>
          <w:rFonts w:ascii="PMingLiU" w:cs="PMingLiU" w:eastAsia="PMingLiU" w:hAnsi="PMingLiU"/>
          <w:sz w:val="14"/>
          <w:szCs w:val="14"/>
          <w:color w:val="231F20"/>
        </w:rPr>
        <w:t></w:t>
      </w:r>
      <w:r>
        <w:rPr>
          <w:rFonts w:ascii="Arial" w:cs="Arial" w:eastAsia="Arial" w:hAnsi="Arial"/>
          <w:sz w:val="14"/>
          <w:szCs w:val="14"/>
          <w:color w:val="231F20"/>
        </w:rPr>
        <w:t>ÖŅŁ*¾</w:t>
      </w:r>
      <w:r>
        <w:rPr>
          <w:rFonts w:ascii="PMingLiU" w:cs="PMingLiU" w:eastAsia="PMingLiU" w:hAnsi="PMingLiU"/>
          <w:sz w:val="14"/>
          <w:szCs w:val="14"/>
          <w:color w:val="231F20"/>
        </w:rPr>
        <w:t></w:t>
      </w:r>
      <w:r>
        <w:rPr>
          <w:rFonts w:ascii="Arial" w:cs="Arial" w:eastAsia="Arial" w:hAnsi="Arial"/>
          <w:sz w:val="14"/>
          <w:szCs w:val="14"/>
          <w:color w:val="231F20"/>
        </w:rPr>
        <w:t>ńŅŁ</w:t>
      </w:r>
      <w:r>
        <w:rPr>
          <w:rFonts w:ascii="PMingLiU" w:cs="PMingLiU" w:eastAsia="PMingLiU" w:hAnsi="PMingLiU"/>
          <w:sz w:val="14"/>
          <w:szCs w:val="14"/>
          <w:color w:val="231F20"/>
        </w:rPr>
        <w:t/>
      </w:r>
      <w:r>
        <w:rPr>
          <w:rFonts w:ascii="Arial" w:cs="Arial" w:eastAsia="Arial" w:hAnsi="Arial"/>
          <w:sz w:val="14"/>
          <w:szCs w:val="14"/>
          <w:color w:val="231F20"/>
        </w:rPr>
        <w:t>$W#ŅŁ*¾</w:t>
      </w:r>
      <w:r>
        <w:rPr>
          <w:rFonts w:ascii="PMingLiU" w:cs="PMingLiU" w:eastAsia="PMingLiU" w:hAnsi="PMingLiU"/>
          <w:sz w:val="14"/>
          <w:szCs w:val="14"/>
          <w:color w:val="231F20"/>
        </w:rPr>
        <w:t></w:t>
      </w:r>
      <w:r>
        <w:rPr>
          <w:rFonts w:ascii="Arial" w:cs="Arial" w:eastAsia="Arial" w:hAnsi="Arial"/>
          <w:sz w:val="14"/>
          <w:szCs w:val="14"/>
          <w:color w:val="231F20"/>
        </w:rPr>
        <w:t>ńŁŁ~¾</w:t>
      </w:r>
      <w:r>
        <w:rPr>
          <w:rFonts w:ascii="PMingLiU" w:cs="PMingLiU" w:eastAsia="PMingLiU" w:hAnsi="PMingLiU"/>
          <w:sz w:val="14"/>
          <w:szCs w:val="14"/>
          <w:color w:val="231F20"/>
        </w:rPr>
        <w:t></w:t>
      </w:r>
      <w:r>
        <w:rPr>
          <w:rFonts w:ascii="Arial" w:cs="Arial" w:eastAsia="Arial" w:hAnsi="Arial"/>
          <w:sz w:val="14"/>
          <w:szCs w:val="14"/>
          <w:color w:val="231F20"/>
        </w:rPr>
        <w:t>Ł</w:t>
      </w:r>
    </w:p>
    <w:p>
      <w:pPr>
        <w:spacing w:after="0" w:line="70" w:lineRule="exact"/>
        <w:rPr>
          <w:sz w:val="20"/>
          <w:szCs w:val="20"/>
          <w:color w:val="auto"/>
        </w:rPr>
      </w:pPr>
    </w:p>
    <w:p>
      <w:pPr>
        <w:spacing w:after="0" w:line="170"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~Ü~Ł</w:t>
      </w:r>
      <w:r>
        <w:rPr>
          <w:rFonts w:ascii="PMingLiU" w:cs="PMingLiU" w:eastAsia="PMingLiU" w:hAnsi="PMingLiU"/>
          <w:sz w:val="14"/>
          <w:szCs w:val="14"/>
          <w:color w:val="231F20"/>
        </w:rPr>
        <w:t/>
      </w:r>
      <w:r>
        <w:rPr>
          <w:rFonts w:ascii="Arial" w:cs="Arial" w:eastAsia="Arial" w:hAnsi="Arial"/>
          <w:sz w:val="14"/>
          <w:szCs w:val="14"/>
          <w:color w:val="231F20"/>
        </w:rPr>
        <w:t>ÄÒÏÄÒ~Ü§Ä¾ńŁm¥§·</w:t>
      </w:r>
      <w:r>
        <w:rPr>
          <w:rFonts w:ascii="PMingLiU" w:cs="PMingLiU" w:eastAsia="PMingLiU" w:hAnsi="PMingLiU"/>
          <w:sz w:val="14"/>
          <w:szCs w:val="14"/>
          <w:color w:val="231F20"/>
        </w:rPr>
        <w:t></w:t>
      </w:r>
      <w:r>
        <w:rPr>
          <w:rFonts w:ascii="Arial" w:cs="Arial" w:eastAsia="Arial" w:hAnsi="Arial"/>
          <w:sz w:val="14"/>
          <w:szCs w:val="14"/>
          <w:color w:val="231F20"/>
        </w:rPr>
        <w:t>Ł~··ŁÄ ŁÜ¥</w:t>
      </w:r>
      <w:r>
        <w:rPr>
          <w:rFonts w:ascii="PMingLiU" w:cs="PMingLiU" w:eastAsia="PMingLiU" w:hAnsi="PMingLiU"/>
          <w:sz w:val="14"/>
          <w:szCs w:val="14"/>
          <w:color w:val="231F20"/>
        </w:rPr>
        <w:t></w:t>
      </w:r>
      <w:r>
        <w:rPr>
          <w:rFonts w:ascii="Arial" w:cs="Arial" w:eastAsia="Arial" w:hAnsi="Arial"/>
          <w:sz w:val="14"/>
          <w:szCs w:val="14"/>
          <w:color w:val="231F20"/>
        </w:rPr>
        <w:t>Ö</w:t>
      </w:r>
      <w:r>
        <w:rPr>
          <w:rFonts w:ascii="PMingLiU" w:cs="PMingLiU" w:eastAsia="PMingLiU" w:hAnsi="PMingLiU"/>
          <w:sz w:val="14"/>
          <w:szCs w:val="14"/>
          <w:color w:val="231F20"/>
        </w:rPr>
        <w:t></w:t>
      </w:r>
      <w:r>
        <w:rPr>
          <w:rFonts w:ascii="Arial" w:cs="Arial" w:eastAsia="Arial" w:hAnsi="Arial"/>
          <w:sz w:val="14"/>
          <w:szCs w:val="14"/>
          <w:color w:val="231F20"/>
        </w:rPr>
        <w:t>ŁÄÒ¡~¾§ø~Ü§Ä¾ÖŁ¥~ë</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ÒÜ~§¾Ł~ÜÜÒ§</w:t>
      </w:r>
      <w:r>
        <w:rPr>
          <w:rFonts w:ascii="PMingLiU" w:cs="PMingLiU" w:eastAsia="PMingLiU" w:hAnsi="PMingLiU"/>
          <w:sz w:val="14"/>
          <w:szCs w:val="14"/>
          <w:color w:val="231F20"/>
        </w:rPr>
        <w:t></w:t>
      </w:r>
      <w:r>
        <w:rPr>
          <w:rFonts w:ascii="Arial" w:cs="Arial" w:eastAsia="Arial" w:hAnsi="Arial"/>
          <w:sz w:val="14"/>
          <w:szCs w:val="14"/>
          <w:color w:val="231F20"/>
        </w:rPr>
        <w:t>àÜ</w:t>
      </w:r>
      <w:r>
        <w:rPr>
          <w:rFonts w:ascii="PMingLiU" w:cs="PMingLiU" w:eastAsia="PMingLiU" w:hAnsi="PMingLiU"/>
          <w:sz w:val="14"/>
          <w:szCs w:val="14"/>
          <w:color w:val="231F20"/>
        </w:rPr>
        <w:t></w:t>
      </w:r>
      <w:r>
        <w:rPr>
          <w:rFonts w:ascii="Arial" w:cs="Arial" w:eastAsia="Arial" w:hAnsi="Arial"/>
          <w:sz w:val="14"/>
          <w:szCs w:val="14"/>
          <w:color w:val="231F20"/>
        </w:rPr>
        <w:t>ÖŁ~¾</w:t>
      </w:r>
      <w:r>
        <w:rPr>
          <w:rFonts w:ascii="PMingLiU" w:cs="PMingLiU" w:eastAsia="PMingLiU" w:hAnsi="PMingLiU"/>
          <w:sz w:val="14"/>
          <w:szCs w:val="14"/>
          <w:color w:val="231F20"/>
        </w:rPr>
        <w:t></w:t>
      </w:r>
      <w:r>
        <w:rPr>
          <w:rFonts w:ascii="Arial" w:cs="Arial" w:eastAsia="Arial" w:hAnsi="Arial"/>
          <w:sz w:val="14"/>
          <w:szCs w:val="14"/>
          <w:color w:val="231F20"/>
        </w:rPr>
        <w:t>ŁÖ</w:t>
      </w:r>
      <w:r>
        <w:rPr>
          <w:rFonts w:ascii="PMingLiU" w:cs="PMingLiU" w:eastAsia="PMingLiU" w:hAnsi="PMingLiU"/>
          <w:sz w:val="14"/>
          <w:szCs w:val="14"/>
          <w:color w:val="231F20"/>
        </w:rPr>
        <w:t></w:t>
      </w:r>
      <w:r>
        <w:rPr>
          <w:rFonts w:ascii="Arial" w:cs="Arial" w:eastAsia="Arial" w:hAnsi="Arial"/>
          <w:sz w:val="14"/>
          <w:szCs w:val="14"/>
          <w:color w:val="231F20"/>
        </w:rPr>
        <w:t>Òë§</w:t>
      </w:r>
      <w:r>
        <w:rPr>
          <w:rFonts w:ascii="PMingLiU" w:cs="PMingLiU" w:eastAsia="PMingLiU" w:hAnsi="PMingLiU"/>
          <w:sz w:val="14"/>
          <w:szCs w:val="14"/>
          <w:color w:val="231F20"/>
        </w:rPr>
        <w:t></w:t>
      </w:r>
      <w:r>
        <w:rPr>
          <w:rFonts w:ascii="Arial" w:cs="Arial" w:eastAsia="Arial" w:hAnsi="Arial"/>
          <w:sz w:val="14"/>
          <w:szCs w:val="14"/>
          <w:color w:val="231F20"/>
        </w:rPr>
        <w:t xml:space="preserve">ŁÄ </w:t>
      </w:r>
      <w:r>
        <w:rPr>
          <w:rFonts w:ascii="PMingLiU" w:cs="PMingLiU" w:eastAsia="PMingLiU" w:hAnsi="PMingLiU"/>
          <w:sz w:val="14"/>
          <w:szCs w:val="14"/>
          <w:color w:val="231F20"/>
        </w:rPr>
        <w:t></w:t>
      </w:r>
      <w:r>
        <w:rPr>
          <w:rFonts w:ascii="Arial" w:cs="Arial" w:eastAsia="Arial" w:hAnsi="Arial"/>
          <w:sz w:val="14"/>
          <w:szCs w:val="14"/>
          <w:color w:val="231F20"/>
        </w:rPr>
        <w:t>Ò§¾¡ÖŁì¥§</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 xml:space="preserve">§ </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¾ÜŁÜ¥~¾Ł</w:t>
      </w:r>
    </w:p>
    <w:p>
      <w:pPr>
        <w:spacing w:after="0" w:line="70"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ÄàÒÖŅŁì</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ë</w:t>
      </w:r>
      <w:r>
        <w:rPr>
          <w:rFonts w:ascii="PMingLiU" w:cs="PMingLiU" w:eastAsia="PMingLiU" w:hAnsi="PMingLiU"/>
          <w:sz w:val="15"/>
          <w:szCs w:val="15"/>
          <w:color w:val="231F20"/>
        </w:rPr>
        <w:t></w:t>
      </w:r>
      <w:r>
        <w:rPr>
          <w:rFonts w:ascii="Arial" w:cs="Arial" w:eastAsia="Arial" w:hAnsi="Arial"/>
          <w:sz w:val="15"/>
          <w:szCs w:val="15"/>
          <w:color w:val="231F20"/>
        </w:rPr>
        <w:t>ŁÜ¥~ÜŁÜ¥</w:t>
      </w:r>
      <w:r>
        <w:rPr>
          <w:rFonts w:ascii="PMingLiU" w:cs="PMingLiU" w:eastAsia="PMingLiU" w:hAnsi="PMingLiU"/>
          <w:sz w:val="15"/>
          <w:szCs w:val="15"/>
          <w:color w:val="231F20"/>
        </w:rPr>
        <w:t></w:t>
      </w:r>
      <w:r>
        <w:rPr>
          <w:rFonts w:ascii="Arial" w:cs="Arial" w:eastAsia="Arial" w:hAnsi="Arial"/>
          <w:sz w:val="15"/>
          <w:szCs w:val="15"/>
          <w:color w:val="231F20"/>
        </w:rPr>
        <w:t>§ÒŁ~¡¡Ò</w:t>
      </w:r>
      <w:r>
        <w:rPr>
          <w:rFonts w:ascii="PMingLiU" w:cs="PMingLiU" w:eastAsia="PMingLiU" w:hAnsi="PMingLiU"/>
          <w:sz w:val="15"/>
          <w:szCs w:val="15"/>
          <w:color w:val="231F20"/>
        </w:rPr>
        <w:t></w:t>
      </w:r>
      <w:r>
        <w:rPr>
          <w:rFonts w:ascii="Arial" w:cs="Arial" w:eastAsia="Arial" w:hAnsi="Arial"/>
          <w:sz w:val="15"/>
          <w:szCs w:val="15"/>
          <w:color w:val="231F20"/>
        </w:rPr>
        <w:t>¡~Ü</w:t>
      </w:r>
      <w:r>
        <w:rPr>
          <w:rFonts w:ascii="PMingLiU" w:cs="PMingLiU" w:eastAsia="PMingLiU" w:hAnsi="PMingLiU"/>
          <w:sz w:val="15"/>
          <w:szCs w:val="15"/>
          <w:color w:val="231F20"/>
        </w:rPr>
        <w:t></w:t>
      </w:r>
      <w:r>
        <w:rPr>
          <w:rFonts w:ascii="Arial" w:cs="Arial" w:eastAsia="Arial" w:hAnsi="Arial"/>
          <w:sz w:val="15"/>
          <w:szCs w:val="15"/>
          <w:color w:val="231F20"/>
        </w:rPr>
        <w:t>ŁÏ</w:t>
      </w:r>
      <w:r>
        <w:rPr>
          <w:rFonts w:ascii="PMingLiU" w:cs="PMingLiU" w:eastAsia="PMingLiU" w:hAnsi="PMingLiU"/>
          <w:sz w:val="15"/>
          <w:szCs w:val="15"/>
          <w:color w:val="231F20"/>
        </w:rPr>
        <w:t></w:t>
      </w:r>
      <w:r>
        <w:rPr>
          <w:rFonts w:ascii="Arial" w:cs="Arial" w:eastAsia="Arial" w:hAnsi="Arial"/>
          <w:sz w:val="15"/>
          <w:szCs w:val="15"/>
          <w:color w:val="231F20"/>
        </w:rPr>
        <w:t>Ò ÄÒ½~¾</w:t>
      </w:r>
      <w:r>
        <w:rPr>
          <w:rFonts w:ascii="PMingLiU" w:cs="PMingLiU" w:eastAsia="PMingLiU" w:hAnsi="PMingLiU"/>
          <w:sz w:val="15"/>
          <w:szCs w:val="15"/>
          <w:color w:val="231F20"/>
        </w:rPr>
        <w:t></w:t>
      </w:r>
      <w:r>
        <w:rPr>
          <w:rFonts w:ascii="Arial" w:cs="Arial" w:eastAsia="Arial" w:hAnsi="Arial"/>
          <w:sz w:val="15"/>
          <w:szCs w:val="15"/>
          <w:color w:val="231F20"/>
        </w:rPr>
        <w:t>Ł§ÖŁÒ</w:t>
      </w:r>
      <w:r>
        <w:rPr>
          <w:rFonts w:ascii="PMingLiU" w:cs="PMingLiU" w:eastAsia="PMingLiU" w:hAnsi="PMingLiU"/>
          <w:sz w:val="15"/>
          <w:szCs w:val="15"/>
          <w:color w:val="231F20"/>
        </w:rPr>
        <w:t></w:t>
      </w:r>
      <w:r>
        <w:rPr>
          <w:rFonts w:ascii="Arial" w:cs="Arial" w:eastAsia="Arial" w:hAnsi="Arial"/>
          <w:sz w:val="15"/>
          <w:szCs w:val="15"/>
          <w:color w:val="231F20"/>
        </w:rPr>
        <w:t>ÏÒ</w:t>
      </w:r>
      <w:r>
        <w:rPr>
          <w:rFonts w:ascii="PMingLiU" w:cs="PMingLiU" w:eastAsia="PMingLiU" w:hAnsi="PMingLiU"/>
          <w:sz w:val="15"/>
          <w:szCs w:val="15"/>
          <w:color w:val="231F20"/>
        </w:rPr>
        <w:t></w:t>
      </w:r>
      <w:r>
        <w:rPr>
          <w:rFonts w:ascii="Arial" w:cs="Arial" w:eastAsia="Arial" w:hAnsi="Arial"/>
          <w:sz w:val="15"/>
          <w:szCs w:val="15"/>
          <w:color w:val="231F20"/>
        </w:rPr>
        <w:t>Ö</w:t>
      </w:r>
      <w:r>
        <w:rPr>
          <w:rFonts w:ascii="PMingLiU" w:cs="PMingLiU" w:eastAsia="PMingLiU" w:hAnsi="PMingLiU"/>
          <w:sz w:val="15"/>
          <w:szCs w:val="15"/>
          <w:color w:val="231F20"/>
        </w:rPr>
        <w:t></w:t>
      </w:r>
      <w:r>
        <w:rPr>
          <w:rFonts w:ascii="Arial" w:cs="Arial" w:eastAsia="Arial" w:hAnsi="Arial"/>
          <w:sz w:val="15"/>
          <w:szCs w:val="15"/>
          <w:color w:val="231F20"/>
        </w:rPr>
        <w:t>¾Ü~Ü§ë</w:t>
      </w:r>
      <w:r>
        <w:rPr>
          <w:rFonts w:ascii="PMingLiU" w:cs="PMingLiU" w:eastAsia="PMingLiU" w:hAnsi="PMingLiU"/>
          <w:sz w:val="15"/>
          <w:szCs w:val="15"/>
          <w:color w:val="231F20"/>
        </w:rPr>
        <w:t></w:t>
      </w:r>
      <w:r>
        <w:rPr>
          <w:rFonts w:ascii="Arial" w:cs="Arial" w:eastAsia="Arial" w:hAnsi="Arial"/>
          <w:sz w:val="15"/>
          <w:szCs w:val="15"/>
          <w:color w:val="231F20"/>
        </w:rPr>
        <w:t>ŁÄ ŁÜ¥</w:t>
      </w:r>
      <w:r>
        <w:rPr>
          <w:rFonts w:ascii="PMingLiU" w:cs="PMingLiU" w:eastAsia="PMingLiU" w:hAnsi="PMingLiU"/>
          <w:sz w:val="15"/>
          <w:szCs w:val="15"/>
          <w:color w:val="231F20"/>
        </w:rPr>
        <w:t></w:t>
      </w:r>
      <w:r>
        <w:rPr>
          <w:rFonts w:ascii="Arial" w:cs="Arial" w:eastAsia="Arial" w:hAnsi="Arial"/>
          <w:sz w:val="15"/>
          <w:szCs w:val="15"/>
          <w:color w:val="231F20"/>
        </w:rPr>
        <w:t>Ł§¾</w:t>
      </w:r>
      <w:r>
        <w:rPr>
          <w:rFonts w:ascii="PMingLiU" w:cs="PMingLiU" w:eastAsia="PMingLiU" w:hAnsi="PMingLiU"/>
          <w:sz w:val="15"/>
          <w:szCs w:val="15"/>
          <w:color w:val="231F20"/>
        </w:rPr>
        <w:t></w:t>
      </w:r>
      <w:r>
        <w:rPr>
          <w:rFonts w:ascii="Arial" w:cs="Arial" w:eastAsia="Arial" w:hAnsi="Arial"/>
          <w:sz w:val="15"/>
          <w:szCs w:val="15"/>
          <w:color w:val="231F20"/>
        </w:rPr>
        <w:t>àÖÜÒ§</w:t>
      </w:r>
      <w:r>
        <w:rPr>
          <w:rFonts w:ascii="PMingLiU" w:cs="PMingLiU" w:eastAsia="PMingLiU" w:hAnsi="PMingLiU"/>
          <w:sz w:val="15"/>
          <w:szCs w:val="15"/>
          <w:color w:val="231F20"/>
        </w:rPr>
        <w:t></w:t>
      </w:r>
      <w:r>
        <w:rPr>
          <w:rFonts w:ascii="Arial" w:cs="Arial" w:eastAsia="Arial" w:hAnsi="Arial"/>
          <w:sz w:val="15"/>
          <w:szCs w:val="15"/>
          <w:color w:val="231F20"/>
        </w:rPr>
        <w:t>ÖŁ~¾</w:t>
      </w:r>
      <w:r>
        <w:rPr>
          <w:rFonts w:ascii="PMingLiU" w:cs="PMingLiU" w:eastAsia="PMingLiU" w:hAnsi="PMingLiU"/>
          <w:sz w:val="15"/>
          <w:szCs w:val="15"/>
          <w:color w:val="231F20"/>
        </w:rPr>
        <w:t></w:t>
      </w:r>
      <w:r>
        <w:rPr>
          <w:rFonts w:ascii="Arial" w:cs="Arial" w:eastAsia="Arial" w:hAnsi="Arial"/>
          <w:sz w:val="15"/>
          <w:szCs w:val="15"/>
          <w:color w:val="231F20"/>
        </w:rPr>
        <w:t>Ł½~Òµ</w:t>
      </w:r>
      <w:r>
        <w:rPr>
          <w:rFonts w:ascii="PMingLiU" w:cs="PMingLiU" w:eastAsia="PMingLiU" w:hAnsi="PMingLiU"/>
          <w:sz w:val="15"/>
          <w:szCs w:val="15"/>
          <w:color w:val="231F20"/>
        </w:rPr>
        <w:t></w:t>
      </w:r>
      <w:r>
        <w:rPr>
          <w:rFonts w:ascii="Arial" w:cs="Arial" w:eastAsia="Arial" w:hAnsi="Arial"/>
          <w:sz w:val="15"/>
          <w:szCs w:val="15"/>
          <w:color w:val="231F20"/>
        </w:rPr>
        <w:t>ÜÖŁ§¾Łì¥§</w:t>
      </w:r>
      <w:r>
        <w:rPr>
          <w:rFonts w:ascii="PMingLiU" w:cs="PMingLiU" w:eastAsia="PMingLiU" w:hAnsi="PMingLiU"/>
          <w:sz w:val="15"/>
          <w:szCs w:val="15"/>
          <w:color w:val="231F20"/>
        </w:rPr>
        <w:t></w:t>
      </w:r>
      <w:r>
        <w:rPr>
          <w:rFonts w:ascii="Arial" w:cs="Arial" w:eastAsia="Arial" w:hAnsi="Arial"/>
          <w:sz w:val="15"/>
          <w:szCs w:val="15"/>
          <w:color w:val="231F20"/>
        </w:rPr>
        <w:t>¥Łì</w:t>
      </w:r>
      <w:r>
        <w:rPr>
          <w:rFonts w:ascii="PMingLiU" w:cs="PMingLiU" w:eastAsia="PMingLiU" w:hAnsi="PMingLiU"/>
          <w:sz w:val="15"/>
          <w:szCs w:val="15"/>
          <w:color w:val="231F20"/>
        </w:rPr>
        <w:t></w:t>
      </w:r>
      <w:r>
        <w:rPr>
          <w:rFonts w:ascii="Arial" w:cs="Arial" w:eastAsia="Arial" w:hAnsi="Arial"/>
          <w:sz w:val="15"/>
          <w:szCs w:val="15"/>
          <w:color w:val="231F20"/>
        </w:rPr>
        <w:t>ŁÄÏ</w:t>
      </w:r>
      <w:r>
        <w:rPr>
          <w:rFonts w:ascii="PMingLiU" w:cs="PMingLiU" w:eastAsia="PMingLiU" w:hAnsi="PMingLiU"/>
          <w:sz w:val="15"/>
          <w:szCs w:val="15"/>
          <w:color w:val="231F20"/>
        </w:rPr>
        <w:t></w:t>
      </w:r>
      <w:r>
        <w:rPr>
          <w:rFonts w:ascii="Arial" w:cs="Arial" w:eastAsia="Arial" w:hAnsi="Arial"/>
          <w:sz w:val="15"/>
          <w:szCs w:val="15"/>
          <w:color w:val="231F20"/>
        </w:rPr>
        <w:t>Ò~Ü</w:t>
      </w:r>
      <w:r>
        <w:rPr>
          <w:rFonts w:ascii="PMingLiU" w:cs="PMingLiU" w:eastAsia="PMingLiU" w:hAnsi="PMingLiU"/>
          <w:sz w:val="15"/>
          <w:szCs w:val="15"/>
          <w:color w:val="231F20"/>
        </w:rPr>
        <w:t></w:t>
      </w:r>
      <w:r>
        <w:rPr>
          <w:rFonts w:ascii="Arial" w:cs="Arial" w:eastAsia="Arial" w:hAnsi="Arial"/>
          <w:sz w:val="15"/>
          <w:szCs w:val="15"/>
          <w:color w:val="231F20"/>
        </w:rPr>
        <w:t>ńŁ*ÜŁ</w:t>
      </w:r>
    </w:p>
    <w:p>
      <w:pPr>
        <w:spacing w:after="0" w:line="58" w:lineRule="exact"/>
        <w:rPr>
          <w:sz w:val="20"/>
          <w:szCs w:val="20"/>
          <w:color w:val="auto"/>
        </w:rPr>
      </w:pPr>
    </w:p>
    <w:p>
      <w:pPr>
        <w:spacing w:after="0" w:line="182" w:lineRule="exact"/>
        <w:rPr>
          <w:sz w:val="20"/>
          <w:szCs w:val="20"/>
          <w:color w:val="auto"/>
        </w:rPr>
      </w:pPr>
      <w:r>
        <w:rPr>
          <w:rFonts w:ascii="Arial" w:cs="Arial" w:eastAsia="Arial" w:hAnsi="Arial"/>
          <w:sz w:val="15"/>
          <w:szCs w:val="15"/>
          <w:color w:val="231F20"/>
        </w:rPr>
        <w:t>Ö¥Äà·</w:t>
      </w:r>
      <w:r>
        <w:rPr>
          <w:rFonts w:ascii="PMingLiU" w:cs="PMingLiU" w:eastAsia="PMingLiU" w:hAnsi="PMingLiU"/>
          <w:sz w:val="15"/>
          <w:szCs w:val="15"/>
          <w:color w:val="231F20"/>
        </w:rPr>
        <w:t></w:t>
      </w:r>
      <w:r>
        <w:rPr>
          <w:rFonts w:ascii="Arial" w:cs="Arial" w:eastAsia="Arial" w:hAnsi="Arial"/>
          <w:sz w:val="15"/>
          <w:szCs w:val="15"/>
          <w:color w:val="231F20"/>
        </w:rPr>
        <w:t>Ł</w:t>
      </w:r>
      <w:r>
        <w:rPr>
          <w:rFonts w:ascii="PMingLiU" w:cs="PMingLiU" w:eastAsia="PMingLiU" w:hAnsi="PMingLiU"/>
          <w:sz w:val="15"/>
          <w:szCs w:val="15"/>
          <w:color w:val="231F20"/>
        </w:rPr>
        <w:t></w:t>
      </w:r>
      <w:r>
        <w:rPr>
          <w:rFonts w:ascii="Arial" w:cs="Arial" w:eastAsia="Arial" w:hAnsi="Arial"/>
          <w:sz w:val="15"/>
          <w:szCs w:val="15"/>
          <w:color w:val="231F20"/>
        </w:rPr>
        <w:t>Ł¾ÄÜ</w:t>
      </w:r>
      <w:r>
        <w:rPr>
          <w:rFonts w:ascii="PMingLiU" w:cs="PMingLiU" w:eastAsia="PMingLiU" w:hAnsi="PMingLiU"/>
          <w:sz w:val="15"/>
          <w:szCs w:val="15"/>
          <w:color w:val="231F20"/>
        </w:rPr>
        <w:t></w:t>
      </w:r>
      <w:r>
        <w:rPr>
          <w:rFonts w:ascii="Arial" w:cs="Arial" w:eastAsia="Arial" w:hAnsi="Arial"/>
          <w:sz w:val="15"/>
          <w:szCs w:val="15"/>
          <w:color w:val="231F20"/>
        </w:rPr>
        <w:t>ŁÜ¥~ÜŁÜ¥Ò</w:t>
      </w:r>
      <w:r>
        <w:rPr>
          <w:rFonts w:ascii="PMingLiU" w:cs="PMingLiU" w:eastAsia="PMingLiU" w:hAnsi="PMingLiU"/>
          <w:sz w:val="15"/>
          <w:szCs w:val="15"/>
          <w:color w:val="231F20"/>
        </w:rPr>
        <w:t></w:t>
      </w:r>
      <w:r>
        <w:rPr>
          <w:rFonts w:ascii="Arial" w:cs="Arial" w:eastAsia="Arial" w:hAnsi="Arial"/>
          <w:sz w:val="15"/>
          <w:szCs w:val="15"/>
          <w:color w:val="231F20"/>
        </w:rPr>
        <w:t>ŁÄ ŁÄàÒŁ ÄàÒŁP</w:t>
      </w:r>
      <w:r>
        <w:rPr>
          <w:rFonts w:ascii="PMingLiU" w:cs="PMingLiU" w:eastAsia="PMingLiU" w:hAnsi="PMingLiU"/>
          <w:sz w:val="15"/>
          <w:szCs w:val="15"/>
          <w:color w:val="231F20"/>
        </w:rPr>
        <w:t></w:t>
      </w:r>
      <w:r>
        <w:rPr>
          <w:rFonts w:ascii="Arial" w:cs="Arial" w:eastAsia="Arial" w:hAnsi="Arial"/>
          <w:sz w:val="15"/>
          <w:szCs w:val="15"/>
          <w:color w:val="231F20"/>
        </w:rPr>
        <w:t>ÒŁ$ÒÄàÏŁ</w:t>
      </w:r>
      <w:r>
        <w:rPr>
          <w:rFonts w:ascii="PMingLiU" w:cs="PMingLiU" w:eastAsia="PMingLiU" w:hAnsi="PMingLiU"/>
          <w:sz w:val="15"/>
          <w:szCs w:val="15"/>
          <w:color w:val="231F20"/>
        </w:rPr>
        <w:t></w:t>
      </w:r>
      <w:r>
        <w:rPr>
          <w:rFonts w:ascii="Arial" w:cs="Arial" w:eastAsia="Arial" w:hAnsi="Arial"/>
          <w:sz w:val="15"/>
          <w:szCs w:val="15"/>
          <w:color w:val="231F20"/>
        </w:rPr>
        <w:t>Ä½Ï~¾§</w:t>
      </w:r>
      <w:r>
        <w:rPr>
          <w:rFonts w:ascii="PMingLiU" w:cs="PMingLiU" w:eastAsia="PMingLiU" w:hAnsi="PMingLiU"/>
          <w:sz w:val="15"/>
          <w:szCs w:val="15"/>
          <w:color w:val="231F20"/>
        </w:rPr>
        <w:t></w:t>
      </w:r>
      <w:r>
        <w:rPr>
          <w:rFonts w:ascii="Arial" w:cs="Arial" w:eastAsia="Arial" w:hAnsi="Arial"/>
          <w:sz w:val="15"/>
          <w:szCs w:val="15"/>
          <w:color w:val="231F20"/>
        </w:rPr>
        <w:t>ÖŁ ÒÄ½Ł·~ÖÜŁò</w:t>
      </w:r>
      <w:r>
        <w:rPr>
          <w:rFonts w:ascii="PMingLiU" w:cs="PMingLiU" w:eastAsia="PMingLiU" w:hAnsi="PMingLiU"/>
          <w:sz w:val="15"/>
          <w:szCs w:val="15"/>
          <w:color w:val="231F20"/>
        </w:rPr>
        <w:t></w:t>
      </w:r>
      <w:r>
        <w:rPr>
          <w:rFonts w:ascii="Arial" w:cs="Arial" w:eastAsia="Arial" w:hAnsi="Arial"/>
          <w:sz w:val="15"/>
          <w:szCs w:val="15"/>
          <w:color w:val="231F20"/>
        </w:rPr>
        <w:t>~ÒŁ~Ò</w:t>
      </w:r>
      <w:r>
        <w:rPr>
          <w:rFonts w:ascii="PMingLiU" w:cs="PMingLiU" w:eastAsia="PMingLiU" w:hAnsi="PMingLiU"/>
          <w:sz w:val="15"/>
          <w:szCs w:val="15"/>
          <w:color w:val="231F20"/>
        </w:rPr>
        <w:t></w:t>
      </w:r>
      <w:r>
        <w:rPr>
          <w:rFonts w:ascii="Arial" w:cs="Arial" w:eastAsia="Arial" w:hAnsi="Arial"/>
          <w:sz w:val="15"/>
          <w:szCs w:val="15"/>
          <w:color w:val="231F20"/>
        </w:rPr>
        <w:t>Ł¾ÄŁ·Ä¾¡</w:t>
      </w:r>
      <w:r>
        <w:rPr>
          <w:rFonts w:ascii="PMingLiU" w:cs="PMingLiU" w:eastAsia="PMingLiU" w:hAnsi="PMingLiU"/>
          <w:sz w:val="15"/>
          <w:szCs w:val="15"/>
          <w:color w:val="231F20"/>
        </w:rPr>
        <w:t></w:t>
      </w:r>
      <w:r>
        <w:rPr>
          <w:rFonts w:ascii="Arial" w:cs="Arial" w:eastAsia="Arial" w:hAnsi="Arial"/>
          <w:sz w:val="15"/>
          <w:szCs w:val="15"/>
          <w:color w:val="231F20"/>
        </w:rPr>
        <w:t>ÒŁÏà</w:t>
      </w:r>
      <w:r>
        <w:rPr>
          <w:rFonts w:ascii="PMingLiU" w:cs="PMingLiU" w:eastAsia="PMingLiU" w:hAnsi="PMingLiU"/>
          <w:sz w:val="15"/>
          <w:szCs w:val="15"/>
          <w:color w:val="231F20"/>
        </w:rPr>
        <w:t></w:t>
      </w:r>
      <w:r>
        <w:rPr>
          <w:rFonts w:ascii="Arial" w:cs="Arial" w:eastAsia="Arial" w:hAnsi="Arial"/>
          <w:sz w:val="15"/>
          <w:szCs w:val="15"/>
          <w:color w:val="231F20"/>
        </w:rPr>
        <w:t>·§</w:t>
      </w:r>
      <w:r>
        <w:rPr>
          <w:rFonts w:ascii="PMingLiU" w:cs="PMingLiU" w:eastAsia="PMingLiU" w:hAnsi="PMingLiU"/>
          <w:sz w:val="15"/>
          <w:szCs w:val="15"/>
          <w:color w:val="231F20"/>
        </w:rPr>
        <w:t></w:t>
      </w:r>
      <w:r>
        <w:rPr>
          <w:rFonts w:ascii="Arial" w:cs="Arial" w:eastAsia="Arial" w:hAnsi="Arial"/>
          <w:sz w:val="15"/>
          <w:szCs w:val="15"/>
          <w:color w:val="231F20"/>
        </w:rPr>
        <w:t>·òŁÜÒ~</w:t>
      </w:r>
      <w:r>
        <w:rPr>
          <w:rFonts w:ascii="PMingLiU" w:cs="PMingLiU" w:eastAsia="PMingLiU" w:hAnsi="PMingLiU"/>
          <w:sz w:val="15"/>
          <w:szCs w:val="15"/>
          <w:color w:val="231F20"/>
        </w:rPr>
        <w:t></w:t>
      </w:r>
      <w:r>
        <w:rPr>
          <w:rFonts w:ascii="Arial" w:cs="Arial" w:eastAsia="Arial" w:hAnsi="Arial"/>
          <w:sz w:val="15"/>
          <w:szCs w:val="15"/>
          <w:color w:val="231F20"/>
        </w:rPr>
        <w:t>Łë§~Ł</w:t>
      </w:r>
      <w:r>
        <w:rPr>
          <w:rFonts w:ascii="PMingLiU" w:cs="PMingLiU" w:eastAsia="PMingLiU" w:hAnsi="PMingLiU"/>
          <w:sz w:val="15"/>
          <w:szCs w:val="15"/>
          <w:color w:val="231F20"/>
        </w:rPr>
        <w:t></w:t>
      </w:r>
      <w:r>
        <w:rPr>
          <w:rFonts w:ascii="Arial" w:cs="Arial" w:eastAsia="Arial" w:hAnsi="Arial"/>
          <w:sz w:val="15"/>
          <w:szCs w:val="15"/>
          <w:color w:val="231F20"/>
        </w:rPr>
        <w:t>§¾¡Ł~</w:t>
      </w:r>
      <w:r>
        <w:rPr>
          <w:rFonts w:ascii="PMingLiU" w:cs="PMingLiU" w:eastAsia="PMingLiU" w:hAnsi="PMingLiU"/>
          <w:sz w:val="15"/>
          <w:szCs w:val="15"/>
          <w:color w:val="231F20"/>
        </w:rPr>
        <w:t></w:t>
      </w:r>
      <w:r>
        <w:rPr>
          <w:rFonts w:ascii="Arial" w:cs="Arial" w:eastAsia="Arial" w:hAnsi="Arial"/>
          <w:sz w:val="15"/>
          <w:szCs w:val="15"/>
          <w:color w:val="231F20"/>
        </w:rPr>
        <w:t>Ñà§Ò</w:t>
      </w:r>
      <w:r>
        <w:rPr>
          <w:rFonts w:ascii="PMingLiU" w:cs="PMingLiU" w:eastAsia="PMingLiU" w:hAnsi="PMingLiU"/>
          <w:sz w:val="15"/>
          <w:szCs w:val="15"/>
          <w:color w:val="231F20"/>
        </w:rPr>
        <w:t></w:t>
      </w:r>
      <w:r>
        <w:rPr>
          <w:rFonts w:ascii="Arial" w:cs="Arial" w:eastAsia="Arial" w:hAnsi="Arial"/>
          <w:sz w:val="15"/>
          <w:szCs w:val="15"/>
          <w:color w:val="231F20"/>
        </w:rPr>
        <w:t>ńŁ</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7"/>
          <w:szCs w:val="17"/>
          <w:color w:val="231F20"/>
        </w:rPr>
        <w:t>]¥</w:t>
      </w:r>
      <w:r>
        <w:rPr>
          <w:rFonts w:ascii="PMingLiU" w:cs="PMingLiU" w:eastAsia="PMingLiU" w:hAnsi="PMingLiU"/>
          <w:sz w:val="17"/>
          <w:szCs w:val="17"/>
          <w:color w:val="231F20"/>
        </w:rPr>
        <w:t></w:t>
      </w:r>
      <w:r>
        <w:rPr>
          <w:rFonts w:ascii="Arial" w:cs="Arial" w:eastAsia="Arial" w:hAnsi="Arial"/>
          <w:sz w:val="17"/>
          <w:szCs w:val="17"/>
          <w:color w:val="231F20"/>
        </w:rPr>
        <w:t>ŁÜ¥Ò</w:t>
      </w:r>
      <w:r>
        <w:rPr>
          <w:rFonts w:ascii="PMingLiU" w:cs="PMingLiU" w:eastAsia="PMingLiU" w:hAnsi="PMingLiU"/>
          <w:sz w:val="17"/>
          <w:szCs w:val="17"/>
          <w:color w:val="231F20"/>
        </w:rPr>
        <w:t></w:t>
      </w:r>
      <w:r>
        <w:rPr>
          <w:rFonts w:ascii="Arial" w:cs="Arial" w:eastAsia="Arial" w:hAnsi="Arial"/>
          <w:sz w:val="17"/>
          <w:szCs w:val="17"/>
          <w:color w:val="231F20"/>
        </w:rPr>
        <w:t>ŁÒ</w:t>
      </w:r>
      <w:r>
        <w:rPr>
          <w:rFonts w:ascii="PMingLiU" w:cs="PMingLiU" w:eastAsia="PMingLiU" w:hAnsi="PMingLiU"/>
          <w:sz w:val="17"/>
          <w:szCs w:val="17"/>
          <w:color w:val="231F20"/>
        </w:rPr>
        <w:t></w:t>
      </w:r>
      <w:r>
        <w:rPr>
          <w:rFonts w:ascii="Arial" w:cs="Arial" w:eastAsia="Arial" w:hAnsi="Arial"/>
          <w:sz w:val="17"/>
          <w:szCs w:val="17"/>
          <w:color w:val="231F20"/>
        </w:rPr>
        <w:t>Ï·~</w:t>
      </w:r>
      <w:r>
        <w:rPr>
          <w:rFonts w:ascii="PMingLiU" w:cs="PMingLiU" w:eastAsia="PMingLiU" w:hAnsi="PMingLiU"/>
          <w:sz w:val="17"/>
          <w:szCs w:val="17"/>
          <w:color w:val="231F20"/>
        </w:rPr>
        <w:t></w:t>
      </w:r>
      <w:r>
        <w:rPr>
          <w:rFonts w:ascii="Arial" w:cs="Arial" w:eastAsia="Arial" w:hAnsi="Arial"/>
          <w:sz w:val="17"/>
          <w:szCs w:val="17"/>
          <w:color w:val="231F20"/>
        </w:rPr>
        <w:t>½</w:t>
      </w:r>
      <w:r>
        <w:rPr>
          <w:rFonts w:ascii="PMingLiU" w:cs="PMingLiU" w:eastAsia="PMingLiU" w:hAnsi="PMingLiU"/>
          <w:sz w:val="17"/>
          <w:szCs w:val="17"/>
          <w:color w:val="231F20"/>
        </w:rPr>
        <w:t></w:t>
      </w:r>
      <w:r>
        <w:rPr>
          <w:rFonts w:ascii="Arial" w:cs="Arial" w:eastAsia="Arial" w:hAnsi="Arial"/>
          <w:sz w:val="17"/>
          <w:szCs w:val="17"/>
          <w:color w:val="231F20"/>
        </w:rPr>
        <w:t>¾ÜŁ</w:t>
      </w:r>
      <w:r>
        <w:rPr>
          <w:rFonts w:ascii="PMingLiU" w:cs="PMingLiU" w:eastAsia="PMingLiU" w:hAnsi="PMingLiU"/>
          <w:sz w:val="17"/>
          <w:szCs w:val="17"/>
          <w:color w:val="231F20"/>
        </w:rPr>
        <w:t></w:t>
      </w:r>
      <w:r>
        <w:rPr>
          <w:rFonts w:ascii="Arial" w:cs="Arial" w:eastAsia="Arial" w:hAnsi="Arial"/>
          <w:sz w:val="17"/>
          <w:szCs w:val="17"/>
          <w:color w:val="231F20"/>
        </w:rPr>
        <w:t>Ä½Ï~¾§</w:t>
      </w:r>
      <w:r>
        <w:rPr>
          <w:rFonts w:ascii="PMingLiU" w:cs="PMingLiU" w:eastAsia="PMingLiU" w:hAnsi="PMingLiU"/>
          <w:sz w:val="17"/>
          <w:szCs w:val="17"/>
          <w:color w:val="231F20"/>
        </w:rPr>
        <w:t></w:t>
      </w:r>
      <w:r>
        <w:rPr>
          <w:rFonts w:ascii="Arial" w:cs="Arial" w:eastAsia="Arial" w:hAnsi="Arial"/>
          <w:sz w:val="17"/>
          <w:szCs w:val="17"/>
          <w:color w:val="231F20"/>
        </w:rPr>
        <w:t>ÖŁ ÄÒŁĤĢĤĦŤÖŁÖÜÄ</w:t>
      </w:r>
      <w:r>
        <w:rPr>
          <w:rFonts w:ascii="PMingLiU" w:cs="PMingLiU" w:eastAsia="PMingLiU" w:hAnsi="PMingLiU"/>
          <w:sz w:val="17"/>
          <w:szCs w:val="17"/>
          <w:color w:val="231F20"/>
        </w:rPr>
        <w:t></w:t>
      </w:r>
      <w:r>
        <w:rPr>
          <w:rFonts w:ascii="Arial" w:cs="Arial" w:eastAsia="Arial" w:hAnsi="Arial"/>
          <w:sz w:val="17"/>
          <w:szCs w:val="17"/>
          <w:color w:val="231F20"/>
        </w:rPr>
        <w:t>µŁÏ</w:t>
      </w:r>
      <w:r>
        <w:rPr>
          <w:rFonts w:ascii="PMingLiU" w:cs="PMingLiU" w:eastAsia="PMingLiU" w:hAnsi="PMingLiU"/>
          <w:sz w:val="17"/>
          <w:szCs w:val="17"/>
          <w:color w:val="231F20"/>
        </w:rPr>
        <w:t></w:t>
      </w:r>
      <w:r>
        <w:rPr>
          <w:rFonts w:ascii="Arial" w:cs="Arial" w:eastAsia="Arial" w:hAnsi="Arial"/>
          <w:sz w:val="17"/>
          <w:szCs w:val="17"/>
          <w:color w:val="231F20"/>
        </w:rPr>
        <w:t>Ò ÄÒ½~¾</w:t>
      </w:r>
      <w:r>
        <w:rPr>
          <w:rFonts w:ascii="PMingLiU" w:cs="PMingLiU" w:eastAsia="PMingLiU" w:hAnsi="PMingLiU"/>
          <w:sz w:val="17"/>
          <w:szCs w:val="17"/>
          <w:color w:val="231F20"/>
        </w:rPr>
        <w:t></w:t>
      </w:r>
      <w:r>
        <w:rPr>
          <w:rFonts w:ascii="Arial" w:cs="Arial" w:eastAsia="Arial" w:hAnsi="Arial"/>
          <w:sz w:val="17"/>
          <w:szCs w:val="17"/>
          <w:color w:val="231F20"/>
        </w:rPr>
        <w:t>Ł¡Ò~Ï¥Ł~Ò</w:t>
      </w:r>
      <w:r>
        <w:rPr>
          <w:rFonts w:ascii="PMingLiU" w:cs="PMingLiU" w:eastAsia="PMingLiU" w:hAnsi="PMingLiU"/>
          <w:sz w:val="17"/>
          <w:szCs w:val="17"/>
          <w:color w:val="231F20"/>
        </w:rPr>
        <w:t></w:t>
      </w:r>
      <w:r>
        <w:rPr>
          <w:rFonts w:ascii="Arial" w:cs="Arial" w:eastAsia="Arial" w:hAnsi="Arial"/>
          <w:sz w:val="17"/>
          <w:szCs w:val="17"/>
          <w:color w:val="231F20"/>
        </w:rPr>
        <w:t>Ł6</w:t>
      </w:r>
      <w:r>
        <w:rPr>
          <w:rFonts w:ascii="PMingLiU" w:cs="PMingLiU" w:eastAsia="PMingLiU" w:hAnsi="PMingLiU"/>
          <w:sz w:val="17"/>
          <w:szCs w:val="17"/>
          <w:color w:val="231F20"/>
        </w:rPr>
        <w:t></w:t>
      </w:r>
      <w:r>
        <w:rPr>
          <w:rFonts w:ascii="Arial" w:cs="Arial" w:eastAsia="Arial" w:hAnsi="Arial"/>
          <w:sz w:val="17"/>
          <w:szCs w:val="17"/>
          <w:color w:val="231F20"/>
        </w:rPr>
        <w:t>··òŁW</w:t>
      </w:r>
      <w:r>
        <w:rPr>
          <w:rFonts w:ascii="PMingLiU" w:cs="PMingLiU" w:eastAsia="PMingLiU" w:hAnsi="PMingLiU"/>
          <w:sz w:val="17"/>
          <w:szCs w:val="17"/>
          <w:color w:val="231F20"/>
        </w:rPr>
        <w:t></w:t>
      </w:r>
      <w:r>
        <w:rPr>
          <w:rFonts w:ascii="Arial" w:cs="Arial" w:eastAsia="Arial" w:hAnsi="Arial"/>
          <w:sz w:val="17"/>
          <w:szCs w:val="17"/>
          <w:color w:val="231F20"/>
        </w:rPr>
        <w:t>Òë§</w:t>
      </w:r>
      <w:r>
        <w:rPr>
          <w:rFonts w:ascii="PMingLiU" w:cs="PMingLiU" w:eastAsia="PMingLiU" w:hAnsi="PMingLiU"/>
          <w:sz w:val="17"/>
          <w:szCs w:val="17"/>
          <w:color w:val="231F20"/>
        </w:rPr>
        <w:t></w:t>
      </w:r>
      <w:r>
        <w:rPr>
          <w:rFonts w:ascii="Arial" w:cs="Arial" w:eastAsia="Arial" w:hAnsi="Arial"/>
          <w:sz w:val="17"/>
          <w:szCs w:val="17"/>
          <w:color w:val="231F20"/>
        </w:rPr>
        <w:t>ÖŅŁ</w:t>
      </w:r>
      <w:r>
        <w:rPr>
          <w:rFonts w:ascii="PMingLiU" w:cs="PMingLiU" w:eastAsia="PMingLiU" w:hAnsi="PMingLiU"/>
          <w:sz w:val="17"/>
          <w:szCs w:val="17"/>
          <w:color w:val="231F20"/>
        </w:rPr>
        <w:t/>
      </w:r>
      <w:r>
        <w:rPr>
          <w:rFonts w:ascii="Arial" w:cs="Arial" w:eastAsia="Arial" w:hAnsi="Arial"/>
          <w:sz w:val="17"/>
          <w:szCs w:val="17"/>
          <w:color w:val="231F20"/>
        </w:rPr>
        <w:t>$W#Ł~¾</w:t>
      </w:r>
      <w:r>
        <w:rPr>
          <w:rFonts w:ascii="PMingLiU" w:cs="PMingLiU" w:eastAsia="PMingLiU" w:hAnsi="PMingLiU"/>
          <w:sz w:val="17"/>
          <w:szCs w:val="17"/>
          <w:color w:val="231F20"/>
        </w:rPr>
        <w:t></w:t>
      </w:r>
      <w:r>
        <w:rPr>
          <w:rFonts w:ascii="Arial" w:cs="Arial" w:eastAsia="Arial" w:hAnsi="Arial"/>
          <w:sz w:val="17"/>
          <w:szCs w:val="17"/>
          <w:color w:val="231F20"/>
        </w:rPr>
        <w:t>Ł]</w:t>
      </w:r>
      <w:r>
        <w:rPr>
          <w:rFonts w:ascii="PMingLiU" w:cs="PMingLiU" w:eastAsia="PMingLiU" w:hAnsi="PMingLiU"/>
          <w:sz w:val="17"/>
          <w:szCs w:val="17"/>
          <w:color w:val="231F20"/>
        </w:rPr>
        <w:t></w:t>
      </w:r>
      <w:r>
        <w:rPr>
          <w:rFonts w:ascii="Arial" w:cs="Arial" w:eastAsia="Arial" w:hAnsi="Arial"/>
          <w:sz w:val="17"/>
          <w:szCs w:val="17"/>
          <w:color w:val="231F20"/>
        </w:rPr>
        <w:t>Ò~</w:t>
      </w:r>
      <w:r>
        <w:rPr>
          <w:rFonts w:ascii="PMingLiU" w:cs="PMingLiU" w:eastAsia="PMingLiU" w:hAnsi="PMingLiU"/>
          <w:sz w:val="17"/>
          <w:szCs w:val="17"/>
          <w:color w:val="231F20"/>
        </w:rPr>
        <w:t></w:t>
      </w:r>
      <w:r>
        <w:rPr>
          <w:rFonts w:ascii="Arial" w:cs="Arial" w:eastAsia="Arial" w:hAnsi="Arial"/>
          <w:sz w:val="17"/>
          <w:szCs w:val="17"/>
          <w:color w:val="231F20"/>
        </w:rPr>
        <w:t>~Ü~ń</w:t>
      </w:r>
    </w:p>
    <w:p>
      <w:pPr>
        <w:spacing w:after="0" w:line="274" w:lineRule="exact"/>
        <w:rPr>
          <w:sz w:val="20"/>
          <w:szCs w:val="20"/>
          <w:color w:val="auto"/>
        </w:rPr>
      </w:pPr>
    </w:p>
    <w:p>
      <w:pPr>
        <w:spacing w:after="0" w:line="237" w:lineRule="exact"/>
        <w:rPr>
          <w:sz w:val="20"/>
          <w:szCs w:val="20"/>
          <w:color w:val="auto"/>
        </w:rPr>
      </w:pP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 Ä··Äì§¾¡Ł¡Ò~Ï¥Ł~ÖÖà½</w:t>
      </w:r>
      <w:r>
        <w:rPr>
          <w:rFonts w:ascii="PMingLiU" w:cs="PMingLiU" w:eastAsia="PMingLiU" w:hAnsi="PMingLiU"/>
          <w:sz w:val="14"/>
          <w:szCs w:val="14"/>
          <w:color w:val="231F20"/>
        </w:rPr>
        <w:t></w:t>
      </w:r>
      <w:r>
        <w:rPr>
          <w:rFonts w:ascii="Arial" w:cs="Arial" w:eastAsia="Arial" w:hAnsi="Arial"/>
          <w:sz w:val="14"/>
          <w:szCs w:val="14"/>
          <w:color w:val="231F20"/>
        </w:rPr>
        <w:t>ÖŁÜ¥~ÜŁƄģĢĢŁì~ÖŁ§¾ë</w:t>
      </w:r>
      <w:r>
        <w:rPr>
          <w:rFonts w:ascii="PMingLiU" w:cs="PMingLiU" w:eastAsia="PMingLiU" w:hAnsi="PMingLiU"/>
          <w:sz w:val="14"/>
          <w:szCs w:val="14"/>
          <w:color w:val="231F20"/>
        </w:rPr>
        <w:t></w:t>
      </w:r>
      <w:r>
        <w:rPr>
          <w:rFonts w:ascii="Arial" w:cs="Arial" w:eastAsia="Arial" w:hAnsi="Arial"/>
          <w:sz w:val="14"/>
          <w:szCs w:val="14"/>
          <w:color w:val="231F20"/>
        </w:rPr>
        <w:t>ÖÜ</w:t>
      </w:r>
      <w:r>
        <w:rPr>
          <w:rFonts w:ascii="PMingLiU" w:cs="PMingLiU" w:eastAsia="PMingLiU" w:hAnsi="PMingLiU"/>
          <w:sz w:val="14"/>
          <w:szCs w:val="14"/>
          <w:color w:val="231F20"/>
        </w:rPr>
        <w:t></w:t>
      </w:r>
      <w:r>
        <w:rPr>
          <w:rFonts w:ascii="Arial" w:cs="Arial" w:eastAsia="Arial" w:hAnsi="Arial"/>
          <w:sz w:val="14"/>
          <w:szCs w:val="14"/>
          <w:color w:val="231F20"/>
        </w:rPr>
        <w:t>ŁÄ¾Ł</w:t>
      </w:r>
      <w:r>
        <w:rPr>
          <w:rFonts w:ascii="PMingLiU" w:cs="PMingLiU" w:eastAsia="PMingLiU" w:hAnsi="PMingLiU"/>
          <w:sz w:val="14"/>
          <w:szCs w:val="14"/>
          <w:color w:val="231F20"/>
        </w:rPr>
        <w:t></w:t>
      </w:r>
      <w:r>
        <w:rPr>
          <w:rFonts w:ascii="Arial" w:cs="Arial" w:eastAsia="Arial" w:hAnsi="Arial"/>
          <w:sz w:val="14"/>
          <w:szCs w:val="14"/>
          <w:color w:val="231F20"/>
        </w:rPr>
        <w:t>½</w:t>
      </w:r>
      <w:r>
        <w:rPr>
          <w:rFonts w:ascii="PMingLiU" w:cs="PMingLiU" w:eastAsia="PMingLiU" w:hAnsi="PMingLiU"/>
          <w:sz w:val="14"/>
          <w:szCs w:val="14"/>
          <w:color w:val="231F20"/>
        </w:rPr>
        <w:t></w:t>
      </w:r>
      <w:r>
        <w:rPr>
          <w:rFonts w:ascii="Arial" w:cs="Arial" w:eastAsia="Arial" w:hAnsi="Arial"/>
          <w:sz w:val="14"/>
          <w:szCs w:val="14"/>
          <w:color w:val="231F20"/>
        </w:rPr>
        <w:t>ÒŁĥģŅŁĤĢģīŁ§¾Ł</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¥ŁÄ ŁÜ¥</w:t>
      </w:r>
      <w:r>
        <w:rPr>
          <w:rFonts w:ascii="PMingLiU" w:cs="PMingLiU" w:eastAsia="PMingLiU" w:hAnsi="PMingLiU"/>
          <w:sz w:val="14"/>
          <w:szCs w:val="14"/>
          <w:color w:val="231F20"/>
        </w:rPr>
        <w:t></w:t>
      </w:r>
      <w:r>
        <w:rPr>
          <w:rFonts w:ascii="Arial" w:cs="Arial" w:eastAsia="Arial" w:hAnsi="Arial"/>
          <w:sz w:val="14"/>
          <w:szCs w:val="14"/>
          <w:color w:val="231F20"/>
        </w:rPr>
        <w:t>ŁÜ¥Ò</w:t>
      </w:r>
      <w:r>
        <w:rPr>
          <w:rFonts w:ascii="PMingLiU" w:cs="PMingLiU" w:eastAsia="PMingLiU" w:hAnsi="PMingLiU"/>
          <w:sz w:val="14"/>
          <w:szCs w:val="14"/>
          <w:color w:val="231F20"/>
        </w:rPr>
        <w:t></w:t>
      </w:r>
      <w:r>
        <w:rPr>
          <w:rFonts w:ascii="Arial" w:cs="Arial" w:eastAsia="Arial" w:hAnsi="Arial"/>
          <w:sz w:val="14"/>
          <w:szCs w:val="14"/>
          <w:color w:val="231F20"/>
        </w:rPr>
        <w:t>Ł§¾ë</w:t>
      </w:r>
      <w:r>
        <w:rPr>
          <w:rFonts w:ascii="PMingLiU" w:cs="PMingLiU" w:eastAsia="PMingLiU" w:hAnsi="PMingLiU"/>
          <w:sz w:val="14"/>
          <w:szCs w:val="14"/>
          <w:color w:val="231F20"/>
        </w:rPr>
        <w:t></w:t>
      </w:r>
      <w:r>
        <w:rPr>
          <w:rFonts w:ascii="Arial" w:cs="Arial" w:eastAsia="Arial" w:hAnsi="Arial"/>
          <w:sz w:val="14"/>
          <w:szCs w:val="14"/>
          <w:color w:val="231F20"/>
        </w:rPr>
        <w:t>ÖÜ½</w:t>
      </w:r>
      <w:r>
        <w:rPr>
          <w:rFonts w:ascii="PMingLiU" w:cs="PMingLiU" w:eastAsia="PMingLiU" w:hAnsi="PMingLiU"/>
          <w:sz w:val="14"/>
          <w:szCs w:val="14"/>
          <w:color w:val="231F20"/>
        </w:rPr>
        <w:t></w:t>
      </w:r>
      <w:r>
        <w:rPr>
          <w:rFonts w:ascii="Arial" w:cs="Arial" w:eastAsia="Arial" w:hAnsi="Arial"/>
          <w:sz w:val="14"/>
          <w:szCs w:val="14"/>
          <w:color w:val="231F20"/>
        </w:rPr>
        <w:t>¾ÜŁÄÏÜ§Ä¾ÖŅŁ~¾</w:t>
      </w:r>
      <w:r>
        <w:rPr>
          <w:rFonts w:ascii="PMingLiU" w:cs="PMingLiU" w:eastAsia="PMingLiU" w:hAnsi="PMingLiU"/>
          <w:sz w:val="14"/>
          <w:szCs w:val="14"/>
          <w:color w:val="231F20"/>
        </w:rPr>
        <w:t></w:t>
      </w:r>
      <w:r>
        <w:rPr>
          <w:rFonts w:ascii="Arial" w:cs="Arial" w:eastAsia="Arial" w:hAnsi="Arial"/>
          <w:sz w:val="14"/>
          <w:szCs w:val="14"/>
          <w:color w:val="231F20"/>
        </w:rPr>
        <w:t>ŁÜ¥~ÜŁ ~··Ł</w:t>
      </w:r>
      <w:r>
        <w:rPr>
          <w:rFonts w:ascii="PMingLiU" w:cs="PMingLiU" w:eastAsia="PMingLiU" w:hAnsi="PMingLiU"/>
          <w:sz w:val="14"/>
          <w:szCs w:val="14"/>
          <w:color w:val="231F20"/>
        </w:rPr>
        <w:t></w:t>
      </w:r>
      <w:r>
        <w:rPr>
          <w:rFonts w:ascii="Arial" w:cs="Arial" w:eastAsia="Arial" w:hAnsi="Arial"/>
          <w:sz w:val="14"/>
          <w:szCs w:val="14"/>
          <w:color w:val="231F20"/>
        </w:rPr>
        <w:t>§ë§</w:t>
      </w:r>
      <w:r>
        <w:rPr>
          <w:rFonts w:ascii="PMingLiU" w:cs="PMingLiU" w:eastAsia="PMingLiU" w:hAnsi="PMingLiU"/>
          <w:sz w:val="14"/>
          <w:szCs w:val="14"/>
          <w:color w:val="231F20"/>
        </w:rPr>
        <w:t></w:t>
      </w:r>
      <w:r>
        <w:rPr>
          <w:rFonts w:ascii="Arial" w:cs="Arial" w:eastAsia="Arial" w:hAnsi="Arial"/>
          <w:sz w:val="14"/>
          <w:szCs w:val="14"/>
          <w:color w:val="231F20"/>
        </w:rPr>
        <w:t>¾</w:t>
      </w:r>
      <w:r>
        <w:rPr>
          <w:rFonts w:ascii="PMingLiU" w:cs="PMingLiU" w:eastAsia="PMingLiU" w:hAnsi="PMingLiU"/>
          <w:sz w:val="14"/>
          <w:szCs w:val="14"/>
          <w:color w:val="231F20"/>
        </w:rPr>
        <w:t></w:t>
      </w:r>
      <w:r>
        <w:rPr>
          <w:rFonts w:ascii="Arial" w:cs="Arial" w:eastAsia="Arial" w:hAnsi="Arial"/>
          <w:sz w:val="14"/>
          <w:szCs w:val="14"/>
          <w:color w:val="231F20"/>
        </w:rPr>
        <w:t>ÖŁì</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§¾ë</w:t>
      </w:r>
      <w:r>
        <w:rPr>
          <w:rFonts w:ascii="PMingLiU" w:cs="PMingLiU" w:eastAsia="PMingLiU" w:hAnsi="PMingLiU"/>
          <w:sz w:val="14"/>
          <w:szCs w:val="14"/>
          <w:color w:val="231F20"/>
        </w:rPr>
        <w:t></w:t>
      </w:r>
      <w:r>
        <w:rPr>
          <w:rFonts w:ascii="Arial" w:cs="Arial" w:eastAsia="Arial" w:hAnsi="Arial"/>
          <w:sz w:val="14"/>
          <w:szCs w:val="14"/>
          <w:color w:val="231F20"/>
        </w:rPr>
        <w:t>ÖÜ</w:t>
      </w:r>
      <w:r>
        <w:rPr>
          <w:rFonts w:ascii="PMingLiU" w:cs="PMingLiU" w:eastAsia="PMingLiU" w:hAnsi="PMingLiU"/>
          <w:sz w:val="14"/>
          <w:szCs w:val="14"/>
          <w:color w:val="231F20"/>
        </w:rPr>
        <w:t></w:t>
      </w:r>
      <w:r>
        <w:rPr>
          <w:rFonts w:ascii="Arial" w:cs="Arial" w:eastAsia="Arial" w:hAnsi="Arial"/>
          <w:sz w:val="14"/>
          <w:szCs w:val="14"/>
          <w:color w:val="231F20"/>
        </w:rPr>
        <w:t>ŅŁ§ Ł~¾òńŁ*ÜŁÖ¥Äà·</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Ł¾ÄÜ</w:t>
      </w:r>
      <w:r>
        <w:rPr>
          <w:rFonts w:ascii="PMingLiU" w:cs="PMingLiU" w:eastAsia="PMingLiU" w:hAnsi="PMingLiU"/>
          <w:sz w:val="14"/>
          <w:szCs w:val="14"/>
          <w:color w:val="231F20"/>
        </w:rPr>
        <w:t></w:t>
      </w:r>
      <w:r>
        <w:rPr>
          <w:rFonts w:ascii="Arial" w:cs="Arial" w:eastAsia="Arial" w:hAnsi="Arial"/>
          <w:sz w:val="14"/>
          <w:szCs w:val="14"/>
          <w:color w:val="231F20"/>
        </w:rPr>
        <w:t>ŁÜ¥~ÜŁÖ¥~Ò</w:t>
      </w:r>
      <w:r>
        <w:rPr>
          <w:rFonts w:ascii="PMingLiU" w:cs="PMingLiU" w:eastAsia="PMingLiU" w:hAnsi="PMingLiU"/>
          <w:sz w:val="14"/>
          <w:szCs w:val="14"/>
          <w:color w:val="231F20"/>
        </w:rPr>
        <w:t></w:t>
      </w:r>
      <w:r>
        <w:rPr>
          <w:rFonts w:ascii="Arial" w:cs="Arial" w:eastAsia="Arial" w:hAnsi="Arial"/>
          <w:sz w:val="14"/>
          <w:szCs w:val="14"/>
          <w:color w:val="231F20"/>
        </w:rPr>
        <w:t>¥Ä·</w:t>
      </w:r>
      <w:r>
        <w:rPr>
          <w:rFonts w:ascii="PMingLiU" w:cs="PMingLiU" w:eastAsia="PMingLiU" w:hAnsi="PMingLiU"/>
          <w:sz w:val="14"/>
          <w:szCs w:val="14"/>
          <w:color w:val="231F20"/>
        </w:rPr>
        <w:t></w:t>
      </w:r>
      <w:r>
        <w:rPr>
          <w:rFonts w:ascii="Arial" w:cs="Arial" w:eastAsia="Arial" w:hAnsi="Arial"/>
          <w:sz w:val="14"/>
          <w:szCs w:val="14"/>
          <w:color w:val="231F20"/>
        </w:rPr>
        <w:t>ÒŁÒ</w:t>
      </w:r>
      <w:r>
        <w:rPr>
          <w:rFonts w:ascii="PMingLiU" w:cs="PMingLiU" w:eastAsia="PMingLiU" w:hAnsi="PMingLiU"/>
          <w:sz w:val="14"/>
          <w:szCs w:val="14"/>
          <w:color w:val="231F20"/>
        </w:rPr>
        <w:t></w:t>
      </w:r>
      <w:r>
        <w:rPr>
          <w:rFonts w:ascii="Arial" w:cs="Arial" w:eastAsia="Arial" w:hAnsi="Arial"/>
          <w:sz w:val="14"/>
          <w:szCs w:val="14"/>
          <w:color w:val="231F20"/>
        </w:rPr>
        <w:t>ÜàÒ¾ÖŁÄë</w:t>
      </w:r>
      <w:r>
        <w:rPr>
          <w:rFonts w:ascii="PMingLiU" w:cs="PMingLiU" w:eastAsia="PMingLiU" w:hAnsi="PMingLiU"/>
          <w:sz w:val="14"/>
          <w:szCs w:val="14"/>
          <w:color w:val="231F20"/>
        </w:rPr>
        <w:t></w:t>
      </w:r>
      <w:r>
        <w:rPr>
          <w:rFonts w:ascii="Arial" w:cs="Arial" w:eastAsia="Arial" w:hAnsi="Arial"/>
          <w:sz w:val="14"/>
          <w:szCs w:val="14"/>
          <w:color w:val="231F20"/>
        </w:rPr>
        <w:t>ÒŁÜ¥</w:t>
      </w:r>
      <w:r>
        <w:rPr>
          <w:rFonts w:ascii="PMingLiU" w:cs="PMingLiU" w:eastAsia="PMingLiU" w:hAnsi="PMingLiU"/>
          <w:sz w:val="14"/>
          <w:szCs w:val="14"/>
          <w:color w:val="231F20"/>
        </w:rPr>
        <w:t></w:t>
      </w:r>
      <w:r>
        <w:rPr>
          <w:rFonts w:ascii="Arial" w:cs="Arial" w:eastAsia="Arial" w:hAnsi="Arial"/>
          <w:sz w:val="14"/>
          <w:szCs w:val="14"/>
          <w:color w:val="231F20"/>
        </w:rPr>
        <w:t>Ł§¾</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~Ü</w:t>
      </w:r>
      <w:r>
        <w:rPr>
          <w:rFonts w:ascii="PMingLiU" w:cs="PMingLiU" w:eastAsia="PMingLiU" w:hAnsi="PMingLiU"/>
          <w:sz w:val="14"/>
          <w:szCs w:val="14"/>
          <w:color w:val="231F20"/>
        </w:rPr>
        <w:t></w:t>
      </w:r>
      <w:r>
        <w:rPr>
          <w:rFonts w:ascii="Arial" w:cs="Arial" w:eastAsia="Arial" w:hAnsi="Arial"/>
          <w:sz w:val="14"/>
          <w:szCs w:val="14"/>
          <w:color w:val="231F20"/>
        </w:rPr>
        <w:t>ŁÏ</w:t>
      </w:r>
      <w:r>
        <w:rPr>
          <w:rFonts w:ascii="PMingLiU" w:cs="PMingLiU" w:eastAsia="PMingLiU" w:hAnsi="PMingLiU"/>
          <w:sz w:val="14"/>
          <w:szCs w:val="14"/>
          <w:color w:val="231F20"/>
        </w:rPr>
        <w:t></w:t>
      </w:r>
      <w:r>
        <w:rPr>
          <w:rFonts w:ascii="Arial" w:cs="Arial" w:eastAsia="Arial" w:hAnsi="Arial"/>
          <w:sz w:val="14"/>
          <w:szCs w:val="14"/>
          <w:color w:val="231F20"/>
        </w:rPr>
        <w:t>Ò§Ä</w:t>
      </w:r>
      <w:r>
        <w:rPr>
          <w:rFonts w:ascii="PMingLiU" w:cs="PMingLiU" w:eastAsia="PMingLiU" w:hAnsi="PMingLiU"/>
          <w:sz w:val="14"/>
          <w:szCs w:val="14"/>
          <w:color w:val="231F20"/>
        </w:rPr>
        <w:t></w:t>
      </w:r>
      <w:r>
        <w:rPr>
          <w:rFonts w:ascii="Arial" w:cs="Arial" w:eastAsia="Arial" w:hAnsi="Arial"/>
          <w:sz w:val="14"/>
          <w:szCs w:val="14"/>
          <w:color w:val="231F20"/>
        </w:rPr>
        <w:t>Ł~Ò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~Ö</w:t>
      </w:r>
      <w:r>
        <w:rPr>
          <w:rFonts w:ascii="PMingLiU" w:cs="PMingLiU" w:eastAsia="PMingLiU" w:hAnsi="PMingLiU"/>
          <w:sz w:val="14"/>
          <w:szCs w:val="14"/>
          <w:color w:val="231F20"/>
        </w:rPr>
        <w:t></w:t>
      </w:r>
      <w:r>
        <w:rPr>
          <w:rFonts w:ascii="Arial" w:cs="Arial" w:eastAsia="Arial" w:hAnsi="Arial"/>
          <w:sz w:val="14"/>
          <w:szCs w:val="14"/>
          <w:color w:val="231F20"/>
        </w:rPr>
        <w:t>ŁÄ¾Ł ¥§ÖÜÄÒ§</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~Ü~Ł~¾</w:t>
      </w:r>
      <w:r>
        <w:rPr>
          <w:rFonts w:ascii="PMingLiU" w:cs="PMingLiU" w:eastAsia="PMingLiU" w:hAnsi="PMingLiU"/>
          <w:sz w:val="14"/>
          <w:szCs w:val="14"/>
          <w:color w:val="231F20"/>
        </w:rPr>
        <w:t></w:t>
      </w:r>
      <w:r>
        <w:rPr>
          <w:rFonts w:ascii="Arial" w:cs="Arial" w:eastAsia="Arial" w:hAnsi="Arial"/>
          <w:sz w:val="14"/>
          <w:szCs w:val="14"/>
          <w:color w:val="231F20"/>
        </w:rPr>
        <w:t>ŁÖ¥Äà·</w:t>
      </w:r>
      <w:r>
        <w:rPr>
          <w:rFonts w:ascii="PMingLiU" w:cs="PMingLiU" w:eastAsia="PMingLiU" w:hAnsi="PMingLiU"/>
          <w:sz w:val="14"/>
          <w:szCs w:val="14"/>
          <w:color w:val="231F20"/>
        </w:rPr>
        <w:t></w:t>
      </w:r>
      <w:r>
        <w:rPr>
          <w:rFonts w:ascii="Arial" w:cs="Arial" w:eastAsia="Arial" w:hAnsi="Arial"/>
          <w:sz w:val="14"/>
          <w:szCs w:val="14"/>
          <w:color w:val="231F20"/>
        </w:rPr>
        <w:t>Ł¾ÄÜŁ</w:t>
      </w:r>
      <w:r>
        <w:rPr>
          <w:rFonts w:ascii="PMingLiU" w:cs="PMingLiU" w:eastAsia="PMingLiU" w:hAnsi="PMingLiU"/>
          <w:sz w:val="14"/>
          <w:szCs w:val="14"/>
          <w:color w:val="231F20"/>
        </w:rPr>
        <w:t></w:t>
      </w:r>
      <w:r>
        <w:rPr>
          <w:rFonts w:ascii="Arial" w:cs="Arial" w:eastAsia="Arial" w:hAnsi="Arial"/>
          <w:sz w:val="14"/>
          <w:szCs w:val="14"/>
          <w:color w:val="231F20"/>
        </w:rPr>
        <w:t>Ł</w:t>
      </w:r>
      <w:r>
        <w:rPr>
          <w:rFonts w:ascii="PMingLiU" w:cs="PMingLiU" w:eastAsia="PMingLiU" w:hAnsi="PMingLiU"/>
          <w:sz w:val="14"/>
          <w:szCs w:val="14"/>
          <w:color w:val="231F20"/>
        </w:rPr>
        <w:t></w:t>
      </w:r>
      <w:r>
        <w:rPr>
          <w:rFonts w:ascii="Arial" w:cs="Arial" w:eastAsia="Arial" w:hAnsi="Arial"/>
          <w:sz w:val="14"/>
          <w:szCs w:val="14"/>
          <w:color w:val="231F20"/>
        </w:rPr>
        <w:t>Ä¾Ö§</w:t>
      </w:r>
      <w:r>
        <w:rPr>
          <w:rFonts w:ascii="PMingLiU" w:cs="PMingLiU" w:eastAsia="PMingLiU" w:hAnsi="PMingLiU"/>
          <w:sz w:val="14"/>
          <w:szCs w:val="14"/>
          <w:color w:val="231F20"/>
        </w:rPr>
        <w:t></w:t>
      </w:r>
      <w:r>
        <w:rPr>
          <w:rFonts w:ascii="Arial" w:cs="Arial" w:eastAsia="Arial" w:hAnsi="Arial"/>
          <w:sz w:val="14"/>
          <w:szCs w:val="14"/>
          <w:color w:val="231F20"/>
        </w:rPr>
        <w:t>Ò</w:t>
      </w:r>
      <w:r>
        <w:rPr>
          <w:rFonts w:ascii="PMingLiU" w:cs="PMingLiU" w:eastAsia="PMingLiU" w:hAnsi="PMingLiU"/>
          <w:sz w:val="14"/>
          <w:szCs w:val="14"/>
          <w:color w:val="231F20"/>
        </w:rPr>
        <w:t></w:t>
      </w:r>
      <w:r>
        <w:rPr>
          <w:rFonts w:ascii="Arial" w:cs="Arial" w:eastAsia="Arial" w:hAnsi="Arial"/>
          <w:sz w:val="14"/>
          <w:szCs w:val="14"/>
          <w:color w:val="231F20"/>
        </w:rPr>
        <w:t>Ł§¾</w:t>
      </w:r>
      <w:r>
        <w:rPr>
          <w:rFonts w:ascii="PMingLiU" w:cs="PMingLiU" w:eastAsia="PMingLiU" w:hAnsi="PMingLiU"/>
          <w:sz w:val="14"/>
          <w:szCs w:val="14"/>
          <w:color w:val="231F20"/>
        </w:rPr>
        <w:t></w:t>
      </w:r>
      <w:r>
        <w:rPr>
          <w:rFonts w:ascii="Arial" w:cs="Arial" w:eastAsia="Arial" w:hAnsi="Arial"/>
          <w:sz w:val="14"/>
          <w:szCs w:val="14"/>
          <w:color w:val="231F20"/>
        </w:rPr>
        <w:t>§</w:t>
      </w:r>
      <w:r>
        <w:rPr>
          <w:rFonts w:ascii="PMingLiU" w:cs="PMingLiU" w:eastAsia="PMingLiU" w:hAnsi="PMingLiU"/>
          <w:sz w:val="14"/>
          <w:szCs w:val="14"/>
          <w:color w:val="231F20"/>
        </w:rPr>
        <w:t></w:t>
      </w:r>
      <w:r>
        <w:rPr>
          <w:rFonts w:ascii="Arial" w:cs="Arial" w:eastAsia="Arial" w:hAnsi="Arial"/>
          <w:sz w:val="14"/>
          <w:szCs w:val="14"/>
          <w:color w:val="231F20"/>
        </w:rPr>
        <w:t>~Ü§ë</w:t>
      </w:r>
      <w:r>
        <w:rPr>
          <w:rFonts w:ascii="PMingLiU" w:cs="PMingLiU" w:eastAsia="PMingLiU" w:hAnsi="PMingLiU"/>
          <w:sz w:val="14"/>
          <w:szCs w:val="14"/>
          <w:color w:val="231F20"/>
        </w:rPr>
        <w:t></w:t>
      </w:r>
      <w:r>
        <w:rPr>
          <w:rFonts w:ascii="Arial" w:cs="Arial" w:eastAsia="Arial" w:hAnsi="Arial"/>
          <w:sz w:val="14"/>
          <w:szCs w:val="14"/>
          <w:color w:val="231F20"/>
        </w:rPr>
        <w:t>ŁÄ Ł àÜàÒ</w:t>
      </w:r>
      <w:r>
        <w:rPr>
          <w:rFonts w:ascii="PMingLiU" w:cs="PMingLiU" w:eastAsia="PMingLiU" w:hAnsi="PMingLiU"/>
          <w:sz w:val="14"/>
          <w:szCs w:val="14"/>
          <w:color w:val="231F20"/>
        </w:rPr>
        <w:t></w:t>
      </w:r>
      <w:r>
        <w:rPr>
          <w:rFonts w:ascii="Arial" w:cs="Arial" w:eastAsia="Arial" w:hAnsi="Arial"/>
          <w:sz w:val="14"/>
          <w:szCs w:val="14"/>
          <w:color w:val="231F20"/>
        </w:rPr>
        <w:t>ŁÖ¥~Ò</w:t>
      </w:r>
      <w:r>
        <w:rPr>
          <w:rFonts w:ascii="PMingLiU" w:cs="PMingLiU" w:eastAsia="PMingLiU" w:hAnsi="PMingLiU"/>
          <w:sz w:val="14"/>
          <w:szCs w:val="14"/>
          <w:color w:val="231F20"/>
        </w:rPr>
        <w:t></w:t>
      </w:r>
      <w:r>
        <w:rPr>
          <w:rFonts w:ascii="Arial" w:cs="Arial" w:eastAsia="Arial" w:hAnsi="Arial"/>
          <w:sz w:val="14"/>
          <w:szCs w:val="14"/>
          <w:color w:val="231F20"/>
        </w:rPr>
        <w:t>¥Ä·</w:t>
      </w:r>
      <w:r>
        <w:rPr>
          <w:rFonts w:ascii="PMingLiU" w:cs="PMingLiU" w:eastAsia="PMingLiU" w:hAnsi="PMingLiU"/>
          <w:sz w:val="14"/>
          <w:szCs w:val="14"/>
          <w:color w:val="231F20"/>
        </w:rPr>
        <w:t></w:t>
      </w:r>
      <w:r>
        <w:rPr>
          <w:rFonts w:ascii="Arial" w:cs="Arial" w:eastAsia="Arial" w:hAnsi="Arial"/>
          <w:sz w:val="14"/>
          <w:szCs w:val="14"/>
          <w:color w:val="231F20"/>
        </w:rPr>
        <w:t>ÒŁÒ</w:t>
      </w:r>
      <w:r>
        <w:rPr>
          <w:rFonts w:ascii="PMingLiU" w:cs="PMingLiU" w:eastAsia="PMingLiU" w:hAnsi="PMingLiU"/>
          <w:sz w:val="14"/>
          <w:szCs w:val="14"/>
          <w:color w:val="231F20"/>
        </w:rPr>
        <w:t></w:t>
      </w:r>
      <w:r>
        <w:rPr>
          <w:rFonts w:ascii="Arial" w:cs="Arial" w:eastAsia="Arial" w:hAnsi="Arial"/>
          <w:sz w:val="14"/>
          <w:szCs w:val="14"/>
          <w:color w:val="231F20"/>
        </w:rPr>
        <w:t>ÜàÒ¾Öń</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229235</wp:posOffset>
            </wp:positionV>
            <wp:extent cx="1624330" cy="553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4330" cy="5537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620"/>
        <w:spacing w:after="0"/>
        <w:rPr>
          <w:sz w:val="20"/>
          <w:szCs w:val="20"/>
          <w:color w:val="auto"/>
        </w:rPr>
      </w:pPr>
      <w:r>
        <w:rPr>
          <w:rFonts w:ascii="Arial" w:cs="Arial" w:eastAsia="Arial" w:hAnsi="Arial"/>
          <w:sz w:val="16"/>
          <w:szCs w:val="16"/>
          <w:color w:val="1872BA"/>
        </w:rPr>
        <w:t>Mastech Digital, Inc.</w:t>
      </w:r>
    </w:p>
    <w:p>
      <w:pPr>
        <w:spacing w:after="0" w:line="62" w:lineRule="exact"/>
        <w:rPr>
          <w:sz w:val="20"/>
          <w:szCs w:val="20"/>
          <w:color w:val="auto"/>
        </w:rPr>
      </w:pPr>
    </w:p>
    <w:p>
      <w:pPr>
        <w:ind w:left="7620"/>
        <w:spacing w:after="0"/>
        <w:rPr>
          <w:sz w:val="20"/>
          <w:szCs w:val="20"/>
          <w:color w:val="auto"/>
        </w:rPr>
      </w:pPr>
      <w:r>
        <w:rPr>
          <w:rFonts w:ascii="Arial" w:cs="Arial" w:eastAsia="Arial" w:hAnsi="Arial"/>
          <w:sz w:val="16"/>
          <w:szCs w:val="16"/>
          <w:color w:val="5B5A5D"/>
        </w:rPr>
        <w:t>S&amp;P 500</w:t>
      </w:r>
    </w:p>
    <w:p>
      <w:pPr>
        <w:spacing w:after="0" w:line="47" w:lineRule="exact"/>
        <w:rPr>
          <w:sz w:val="20"/>
          <w:szCs w:val="20"/>
          <w:color w:val="auto"/>
        </w:rPr>
      </w:pPr>
    </w:p>
    <w:p>
      <w:pPr>
        <w:ind w:left="7620"/>
        <w:spacing w:after="0"/>
        <w:rPr>
          <w:sz w:val="20"/>
          <w:szCs w:val="20"/>
          <w:color w:val="auto"/>
        </w:rPr>
      </w:pPr>
      <w:r>
        <w:rPr>
          <w:rFonts w:ascii="Arial" w:cs="Arial" w:eastAsia="Arial" w:hAnsi="Arial"/>
          <w:sz w:val="16"/>
          <w:szCs w:val="16"/>
          <w:color w:val="199BD3"/>
        </w:rPr>
        <w:t>Peer Group Index</w:t>
      </w:r>
    </w:p>
    <w:p>
      <w:pPr>
        <w:spacing w:after="0" w:line="307" w:lineRule="exact"/>
        <w:rPr>
          <w:sz w:val="20"/>
          <w:szCs w:val="20"/>
          <w:color w:val="auto"/>
        </w:rPr>
      </w:pPr>
    </w:p>
    <w:p>
      <w:pPr>
        <w:jc w:val="right"/>
        <w:ind w:right="9900"/>
        <w:spacing w:after="0"/>
        <w:rPr>
          <w:sz w:val="20"/>
          <w:szCs w:val="20"/>
          <w:color w:val="auto"/>
        </w:rPr>
      </w:pPr>
      <w:r>
        <w:rPr>
          <w:rFonts w:ascii="Arial" w:cs="Arial" w:eastAsia="Arial" w:hAnsi="Arial"/>
          <w:sz w:val="18"/>
          <w:szCs w:val="18"/>
          <w:color w:val="231F20"/>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-38100</wp:posOffset>
            </wp:positionV>
            <wp:extent cx="6224905" cy="2851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4905" cy="2851785"/>
                    </a:xfrm>
                    <a:prstGeom prst="rect">
                      <a:avLst/>
                    </a:prstGeom>
                    <a:noFill/>
                  </pic:spPr>
                </pic:pic>
              </a:graphicData>
            </a:graphic>
          </wp:anchor>
        </w:drawing>
      </w:r>
    </w:p>
    <w:p>
      <w:pPr>
        <w:spacing w:after="0" w:line="266" w:lineRule="exact"/>
        <w:rPr>
          <w:sz w:val="20"/>
          <w:szCs w:val="20"/>
          <w:color w:val="auto"/>
        </w:rPr>
      </w:pPr>
    </w:p>
    <w:p>
      <w:pPr>
        <w:jc w:val="right"/>
        <w:ind w:right="9900"/>
        <w:spacing w:after="0"/>
        <w:rPr>
          <w:sz w:val="20"/>
          <w:szCs w:val="20"/>
          <w:color w:val="auto"/>
        </w:rPr>
      </w:pPr>
      <w:r>
        <w:rPr>
          <w:rFonts w:ascii="Arial" w:cs="Arial" w:eastAsia="Arial" w:hAnsi="Arial"/>
          <w:sz w:val="18"/>
          <w:szCs w:val="18"/>
          <w:color w:val="231F20"/>
        </w:rPr>
        <w:t>$ 200</w:t>
      </w:r>
    </w:p>
    <w:p>
      <w:pPr>
        <w:spacing w:after="0" w:line="286" w:lineRule="exact"/>
        <w:rPr>
          <w:sz w:val="20"/>
          <w:szCs w:val="20"/>
          <w:color w:val="auto"/>
        </w:rPr>
      </w:pPr>
    </w:p>
    <w:p>
      <w:pPr>
        <w:jc w:val="right"/>
        <w:ind w:right="9900"/>
        <w:spacing w:after="0"/>
        <w:rPr>
          <w:sz w:val="20"/>
          <w:szCs w:val="20"/>
          <w:color w:val="auto"/>
        </w:rPr>
      </w:pPr>
      <w:r>
        <w:rPr>
          <w:rFonts w:ascii="Arial" w:cs="Arial" w:eastAsia="Arial" w:hAnsi="Arial"/>
          <w:sz w:val="18"/>
          <w:szCs w:val="18"/>
          <w:color w:val="231F20"/>
        </w:rPr>
        <w:t>$ 175</w:t>
      </w:r>
    </w:p>
    <w:p>
      <w:pPr>
        <w:spacing w:after="0" w:line="286" w:lineRule="exact"/>
        <w:rPr>
          <w:sz w:val="20"/>
          <w:szCs w:val="20"/>
          <w:color w:val="auto"/>
        </w:rPr>
      </w:pPr>
    </w:p>
    <w:p>
      <w:pPr>
        <w:jc w:val="right"/>
        <w:ind w:right="9900"/>
        <w:spacing w:after="0"/>
        <w:rPr>
          <w:sz w:val="20"/>
          <w:szCs w:val="20"/>
          <w:color w:val="auto"/>
        </w:rPr>
      </w:pPr>
      <w:r>
        <w:rPr>
          <w:rFonts w:ascii="Arial" w:cs="Arial" w:eastAsia="Arial" w:hAnsi="Arial"/>
          <w:sz w:val="18"/>
          <w:szCs w:val="18"/>
          <w:color w:val="231F20"/>
        </w:rPr>
        <w:t>$ 150</w:t>
      </w:r>
    </w:p>
    <w:p>
      <w:pPr>
        <w:spacing w:after="0" w:line="286" w:lineRule="exact"/>
        <w:rPr>
          <w:sz w:val="20"/>
          <w:szCs w:val="20"/>
          <w:color w:val="auto"/>
        </w:rPr>
      </w:pPr>
    </w:p>
    <w:p>
      <w:pPr>
        <w:jc w:val="right"/>
        <w:ind w:right="9900"/>
        <w:spacing w:after="0"/>
        <w:rPr>
          <w:sz w:val="20"/>
          <w:szCs w:val="20"/>
          <w:color w:val="auto"/>
        </w:rPr>
      </w:pPr>
      <w:r>
        <w:rPr>
          <w:rFonts w:ascii="Arial" w:cs="Arial" w:eastAsia="Arial" w:hAnsi="Arial"/>
          <w:sz w:val="18"/>
          <w:szCs w:val="18"/>
          <w:color w:val="231F20"/>
        </w:rPr>
        <w:t>$ 125</w:t>
      </w:r>
    </w:p>
    <w:p>
      <w:pPr>
        <w:spacing w:after="0" w:line="286" w:lineRule="exact"/>
        <w:rPr>
          <w:sz w:val="20"/>
          <w:szCs w:val="20"/>
          <w:color w:val="auto"/>
        </w:rPr>
      </w:pPr>
    </w:p>
    <w:p>
      <w:pPr>
        <w:jc w:val="right"/>
        <w:ind w:right="9900"/>
        <w:spacing w:after="0"/>
        <w:rPr>
          <w:sz w:val="20"/>
          <w:szCs w:val="20"/>
          <w:color w:val="auto"/>
        </w:rPr>
      </w:pPr>
      <w:r>
        <w:rPr>
          <w:rFonts w:ascii="Arial" w:cs="Arial" w:eastAsia="Arial" w:hAnsi="Arial"/>
          <w:sz w:val="18"/>
          <w:szCs w:val="18"/>
          <w:color w:val="231F20"/>
        </w:rPr>
        <w:t>$ 100</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$ 75</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231F20"/>
        </w:rPr>
        <w:t>$ 50</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color w:val="231F20"/>
        </w:rPr>
        <w:t>$ 25</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color w:val="231F20"/>
        </w:rPr>
        <w:t>$ 0</w:t>
      </w:r>
    </w:p>
    <w:p>
      <w:pPr>
        <w:spacing w:after="0" w:line="44" w:lineRule="exact"/>
        <w:rPr>
          <w:sz w:val="20"/>
          <w:szCs w:val="20"/>
          <w:color w:val="auto"/>
        </w:rPr>
      </w:pPr>
    </w:p>
    <w:p>
      <w:pPr>
        <w:ind w:left="940"/>
        <w:spacing w:after="0"/>
        <w:tabs>
          <w:tab w:leader="none" w:pos="2580" w:val="left"/>
          <w:tab w:leader="none" w:pos="4180" w:val="left"/>
          <w:tab w:leader="none" w:pos="5780" w:val="left"/>
          <w:tab w:leader="none" w:pos="7420" w:val="left"/>
          <w:tab w:leader="none" w:pos="9060" w:val="left"/>
        </w:tabs>
        <w:rPr>
          <w:sz w:val="20"/>
          <w:szCs w:val="20"/>
          <w:color w:val="auto"/>
        </w:rPr>
      </w:pPr>
      <w:r>
        <w:rPr>
          <w:rFonts w:ascii="Arial" w:cs="Arial" w:eastAsia="Arial" w:hAnsi="Arial"/>
          <w:sz w:val="18"/>
          <w:szCs w:val="18"/>
          <w:color w:val="231F20"/>
        </w:rPr>
        <w:t>Dec. 31, 2020</w:t>
      </w:r>
      <w:r>
        <w:rPr>
          <w:sz w:val="20"/>
          <w:szCs w:val="20"/>
          <w:color w:val="auto"/>
        </w:rPr>
        <w:tab/>
      </w:r>
      <w:r>
        <w:rPr>
          <w:rFonts w:ascii="Arial" w:cs="Arial" w:eastAsia="Arial" w:hAnsi="Arial"/>
          <w:sz w:val="18"/>
          <w:szCs w:val="18"/>
          <w:color w:val="231F20"/>
        </w:rPr>
        <w:t>Dec. 31, 2021</w:t>
      </w:r>
      <w:r>
        <w:rPr>
          <w:sz w:val="20"/>
          <w:szCs w:val="20"/>
          <w:color w:val="auto"/>
        </w:rPr>
        <w:tab/>
      </w:r>
      <w:r>
        <w:rPr>
          <w:rFonts w:ascii="Arial" w:cs="Arial" w:eastAsia="Arial" w:hAnsi="Arial"/>
          <w:sz w:val="18"/>
          <w:szCs w:val="18"/>
          <w:color w:val="231F20"/>
        </w:rPr>
        <w:t>Dec. 31, 2022</w:t>
      </w:r>
      <w:r>
        <w:rPr>
          <w:sz w:val="20"/>
          <w:szCs w:val="20"/>
          <w:color w:val="auto"/>
        </w:rPr>
        <w:tab/>
      </w:r>
      <w:r>
        <w:rPr>
          <w:rFonts w:ascii="Arial" w:cs="Arial" w:eastAsia="Arial" w:hAnsi="Arial"/>
          <w:sz w:val="18"/>
          <w:szCs w:val="18"/>
          <w:color w:val="231F20"/>
        </w:rPr>
        <w:t>Dec. 31, 2023</w:t>
      </w:r>
      <w:r>
        <w:rPr>
          <w:sz w:val="20"/>
          <w:szCs w:val="20"/>
          <w:color w:val="auto"/>
        </w:rPr>
        <w:tab/>
      </w:r>
      <w:r>
        <w:rPr>
          <w:rFonts w:ascii="Arial" w:cs="Arial" w:eastAsia="Arial" w:hAnsi="Arial"/>
          <w:sz w:val="18"/>
          <w:szCs w:val="18"/>
          <w:color w:val="231F20"/>
        </w:rPr>
        <w:t>Dec. 31, 2024</w:t>
      </w:r>
      <w:r>
        <w:rPr>
          <w:sz w:val="20"/>
          <w:szCs w:val="20"/>
          <w:color w:val="auto"/>
        </w:rPr>
        <w:tab/>
      </w:r>
      <w:r>
        <w:rPr>
          <w:rFonts w:ascii="Arial" w:cs="Arial" w:eastAsia="Arial" w:hAnsi="Arial"/>
          <w:sz w:val="17"/>
          <w:szCs w:val="17"/>
          <w:color w:val="231F20"/>
        </w:rPr>
        <w:t>Dec. 31, 2025</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21E1F"/>
        </w:rPr>
        <w:t>Our common stock is currently traded on the NYSE American, under the symbol “MHH”.</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2140" w:type="dxa"/>
            <w:vAlign w:val="bottom"/>
            <w:tcBorders>
              <w:bottom w:val="single" w:sz="8" w:color="E7F4FD"/>
            </w:tcBorders>
            <w:shd w:val="clear" w:color="auto" w:fill="E7F4FD"/>
          </w:tcPr>
          <w:p>
            <w:pPr>
              <w:spacing w:after="0"/>
              <w:rPr>
                <w:sz w:val="24"/>
                <w:szCs w:val="24"/>
                <w:color w:val="auto"/>
              </w:rPr>
            </w:pPr>
          </w:p>
        </w:tc>
        <w:tc>
          <w:tcPr>
            <w:tcW w:w="2220" w:type="dxa"/>
            <w:vAlign w:val="bottom"/>
            <w:tcBorders>
              <w:bottom w:val="single" w:sz="8" w:color="E7F4FD"/>
            </w:tcBorders>
            <w:shd w:val="clear" w:color="auto" w:fill="E7F4FD"/>
          </w:tcPr>
          <w:p>
            <w:pPr>
              <w:ind w:left="640"/>
              <w:spacing w:after="0"/>
              <w:rPr>
                <w:sz w:val="20"/>
                <w:szCs w:val="20"/>
                <w:color w:val="auto"/>
              </w:rPr>
            </w:pPr>
            <w:r>
              <w:rPr>
                <w:rFonts w:ascii="Arial" w:cs="Arial" w:eastAsia="Arial" w:hAnsi="Arial"/>
                <w:sz w:val="19"/>
                <w:szCs w:val="19"/>
                <w:b w:val="1"/>
                <w:bCs w:val="1"/>
                <w:color w:val="5B5A5D"/>
              </w:rPr>
              <w:t>S&amp;P 500</w:t>
            </w:r>
          </w:p>
        </w:tc>
        <w:tc>
          <w:tcPr>
            <w:tcW w:w="2920" w:type="dxa"/>
            <w:vAlign w:val="bottom"/>
            <w:tcBorders>
              <w:bottom w:val="single" w:sz="8" w:color="E7F4FD"/>
            </w:tcBorders>
            <w:shd w:val="clear" w:color="auto" w:fill="E7F4FD"/>
          </w:tcPr>
          <w:p>
            <w:pPr>
              <w:ind w:left="760"/>
              <w:spacing w:after="0"/>
              <w:rPr>
                <w:sz w:val="20"/>
                <w:szCs w:val="20"/>
                <w:color w:val="auto"/>
              </w:rPr>
            </w:pPr>
            <w:r>
              <w:rPr>
                <w:rFonts w:ascii="Arial" w:cs="Arial" w:eastAsia="Arial" w:hAnsi="Arial"/>
                <w:sz w:val="19"/>
                <w:szCs w:val="19"/>
                <w:b w:val="1"/>
                <w:bCs w:val="1"/>
                <w:color w:val="199BD3"/>
              </w:rPr>
              <w:t>Peer Group Index</w:t>
            </w:r>
          </w:p>
        </w:tc>
        <w:tc>
          <w:tcPr>
            <w:tcW w:w="3020" w:type="dxa"/>
            <w:vAlign w:val="bottom"/>
            <w:tcBorders>
              <w:bottom w:val="single" w:sz="8" w:color="E7F4FD"/>
            </w:tcBorders>
            <w:shd w:val="clear" w:color="auto" w:fill="E7F4FD"/>
          </w:tcPr>
          <w:p>
            <w:pPr>
              <w:ind w:left="520"/>
              <w:spacing w:after="0"/>
              <w:rPr>
                <w:sz w:val="20"/>
                <w:szCs w:val="20"/>
                <w:color w:val="auto"/>
              </w:rPr>
            </w:pPr>
            <w:r>
              <w:rPr>
                <w:rFonts w:ascii="Arial" w:cs="Arial" w:eastAsia="Arial" w:hAnsi="Arial"/>
                <w:sz w:val="19"/>
                <w:szCs w:val="19"/>
                <w:b w:val="1"/>
                <w:bCs w:val="1"/>
                <w:color w:val="1872BA"/>
              </w:rPr>
              <w:t>Mastech Digital, Inc.</w:t>
            </w:r>
          </w:p>
        </w:tc>
      </w:tr>
      <w:tr>
        <w:trPr>
          <w:trHeight w:val="387"/>
        </w:trPr>
        <w:tc>
          <w:tcPr>
            <w:tcW w:w="2140" w:type="dxa"/>
            <w:vAlign w:val="bottom"/>
          </w:tcPr>
          <w:p>
            <w:pPr>
              <w:ind w:left="280"/>
              <w:spacing w:after="0"/>
              <w:rPr>
                <w:sz w:val="20"/>
                <w:szCs w:val="20"/>
                <w:color w:val="auto"/>
              </w:rPr>
            </w:pPr>
            <w:r>
              <w:rPr>
                <w:rFonts w:ascii="Arial" w:cs="Arial" w:eastAsia="Arial" w:hAnsi="Arial"/>
                <w:sz w:val="20"/>
                <w:szCs w:val="20"/>
                <w:color w:val="221E1F"/>
              </w:rPr>
              <w:t>Dec. 31, 2020</w:t>
            </w:r>
          </w:p>
        </w:tc>
        <w:tc>
          <w:tcPr>
            <w:tcW w:w="2220" w:type="dxa"/>
            <w:vAlign w:val="bottom"/>
          </w:tcPr>
          <w:p>
            <w:pPr>
              <w:ind w:left="880"/>
              <w:spacing w:after="0"/>
              <w:rPr>
                <w:sz w:val="20"/>
                <w:szCs w:val="20"/>
                <w:color w:val="auto"/>
              </w:rPr>
            </w:pPr>
            <w:r>
              <w:rPr>
                <w:rFonts w:ascii="Arial" w:cs="Arial" w:eastAsia="Arial" w:hAnsi="Arial"/>
                <w:sz w:val="20"/>
                <w:szCs w:val="20"/>
                <w:color w:val="221E1F"/>
              </w:rPr>
              <w:t>116</w:t>
            </w:r>
          </w:p>
        </w:tc>
        <w:tc>
          <w:tcPr>
            <w:tcW w:w="2920" w:type="dxa"/>
            <w:vAlign w:val="bottom"/>
          </w:tcPr>
          <w:p>
            <w:pPr>
              <w:ind w:left="1460"/>
              <w:spacing w:after="0"/>
              <w:rPr>
                <w:sz w:val="20"/>
                <w:szCs w:val="20"/>
                <w:color w:val="auto"/>
              </w:rPr>
            </w:pPr>
            <w:r>
              <w:rPr>
                <w:rFonts w:ascii="Arial" w:cs="Arial" w:eastAsia="Arial" w:hAnsi="Arial"/>
                <w:sz w:val="20"/>
                <w:szCs w:val="20"/>
                <w:color w:val="221E1F"/>
              </w:rPr>
              <w:t>94</w:t>
            </w:r>
          </w:p>
        </w:tc>
        <w:tc>
          <w:tcPr>
            <w:tcW w:w="3020" w:type="dxa"/>
            <w:vAlign w:val="bottom"/>
          </w:tcPr>
          <w:p>
            <w:pPr>
              <w:ind w:left="1380"/>
              <w:spacing w:after="0"/>
              <w:rPr>
                <w:sz w:val="20"/>
                <w:szCs w:val="20"/>
                <w:color w:val="auto"/>
              </w:rPr>
            </w:pPr>
            <w:r>
              <w:rPr>
                <w:rFonts w:ascii="Arial" w:cs="Arial" w:eastAsia="Arial" w:hAnsi="Arial"/>
                <w:sz w:val="20"/>
                <w:szCs w:val="20"/>
                <w:color w:val="221E1F"/>
              </w:rPr>
              <w:t>144</w:t>
            </w:r>
          </w:p>
        </w:tc>
      </w:tr>
      <w:tr>
        <w:trPr>
          <w:trHeight w:val="51"/>
        </w:trPr>
        <w:tc>
          <w:tcPr>
            <w:tcW w:w="2140" w:type="dxa"/>
            <w:vAlign w:val="bottom"/>
            <w:tcBorders>
              <w:bottom w:val="single" w:sz="8" w:color="E5E5E4"/>
            </w:tcBorders>
          </w:tcPr>
          <w:p>
            <w:pPr>
              <w:spacing w:after="0"/>
              <w:rPr>
                <w:sz w:val="4"/>
                <w:szCs w:val="4"/>
                <w:color w:val="auto"/>
              </w:rPr>
            </w:pPr>
          </w:p>
        </w:tc>
        <w:tc>
          <w:tcPr>
            <w:tcW w:w="2220" w:type="dxa"/>
            <w:vAlign w:val="bottom"/>
            <w:tcBorders>
              <w:bottom w:val="single" w:sz="8" w:color="E5E5E4"/>
            </w:tcBorders>
          </w:tcPr>
          <w:p>
            <w:pPr>
              <w:spacing w:after="0"/>
              <w:rPr>
                <w:sz w:val="4"/>
                <w:szCs w:val="4"/>
                <w:color w:val="auto"/>
              </w:rPr>
            </w:pPr>
          </w:p>
        </w:tc>
        <w:tc>
          <w:tcPr>
            <w:tcW w:w="2920" w:type="dxa"/>
            <w:vAlign w:val="bottom"/>
            <w:tcBorders>
              <w:bottom w:val="single" w:sz="8" w:color="E5E5E4"/>
            </w:tcBorders>
          </w:tcPr>
          <w:p>
            <w:pPr>
              <w:spacing w:after="0"/>
              <w:rPr>
                <w:sz w:val="4"/>
                <w:szCs w:val="4"/>
                <w:color w:val="auto"/>
              </w:rPr>
            </w:pPr>
          </w:p>
        </w:tc>
        <w:tc>
          <w:tcPr>
            <w:tcW w:w="3020" w:type="dxa"/>
            <w:vAlign w:val="bottom"/>
            <w:tcBorders>
              <w:bottom w:val="single" w:sz="8" w:color="E5E5E4"/>
            </w:tcBorders>
          </w:tcPr>
          <w:p>
            <w:pPr>
              <w:spacing w:after="0"/>
              <w:rPr>
                <w:sz w:val="4"/>
                <w:szCs w:val="4"/>
                <w:color w:val="auto"/>
              </w:rPr>
            </w:pPr>
          </w:p>
        </w:tc>
      </w:tr>
      <w:tr>
        <w:trPr>
          <w:trHeight w:val="339"/>
        </w:trPr>
        <w:tc>
          <w:tcPr>
            <w:tcW w:w="2140" w:type="dxa"/>
            <w:vAlign w:val="bottom"/>
          </w:tcPr>
          <w:p>
            <w:pPr>
              <w:ind w:left="280"/>
              <w:spacing w:after="0"/>
              <w:rPr>
                <w:sz w:val="20"/>
                <w:szCs w:val="20"/>
                <w:color w:val="auto"/>
              </w:rPr>
            </w:pPr>
            <w:r>
              <w:rPr>
                <w:rFonts w:ascii="Arial" w:cs="Arial" w:eastAsia="Arial" w:hAnsi="Arial"/>
                <w:sz w:val="20"/>
                <w:szCs w:val="20"/>
                <w:color w:val="221E1F"/>
              </w:rPr>
              <w:t>Dec. 31, 2021</w:t>
            </w:r>
          </w:p>
        </w:tc>
        <w:tc>
          <w:tcPr>
            <w:tcW w:w="2220" w:type="dxa"/>
            <w:vAlign w:val="bottom"/>
          </w:tcPr>
          <w:p>
            <w:pPr>
              <w:ind w:left="880"/>
              <w:spacing w:after="0"/>
              <w:rPr>
                <w:sz w:val="20"/>
                <w:szCs w:val="20"/>
                <w:color w:val="auto"/>
              </w:rPr>
            </w:pPr>
            <w:r>
              <w:rPr>
                <w:rFonts w:ascii="Arial" w:cs="Arial" w:eastAsia="Arial" w:hAnsi="Arial"/>
                <w:sz w:val="20"/>
                <w:szCs w:val="20"/>
                <w:color w:val="221E1F"/>
              </w:rPr>
              <w:t>148</w:t>
            </w:r>
          </w:p>
        </w:tc>
        <w:tc>
          <w:tcPr>
            <w:tcW w:w="2920" w:type="dxa"/>
            <w:vAlign w:val="bottom"/>
          </w:tcPr>
          <w:p>
            <w:pPr>
              <w:ind w:left="1460"/>
              <w:spacing w:after="0"/>
              <w:rPr>
                <w:sz w:val="20"/>
                <w:szCs w:val="20"/>
                <w:color w:val="auto"/>
              </w:rPr>
            </w:pPr>
            <w:r>
              <w:rPr>
                <w:rFonts w:ascii="Arial" w:cs="Arial" w:eastAsia="Arial" w:hAnsi="Arial"/>
                <w:sz w:val="20"/>
                <w:szCs w:val="20"/>
                <w:color w:val="221E1F"/>
              </w:rPr>
              <w:t>168</w:t>
            </w:r>
          </w:p>
        </w:tc>
        <w:tc>
          <w:tcPr>
            <w:tcW w:w="3020" w:type="dxa"/>
            <w:vAlign w:val="bottom"/>
          </w:tcPr>
          <w:p>
            <w:pPr>
              <w:ind w:left="1380"/>
              <w:spacing w:after="0"/>
              <w:rPr>
                <w:sz w:val="20"/>
                <w:szCs w:val="20"/>
                <w:color w:val="auto"/>
              </w:rPr>
            </w:pPr>
            <w:r>
              <w:rPr>
                <w:rFonts w:ascii="Arial" w:cs="Arial" w:eastAsia="Arial" w:hAnsi="Arial"/>
                <w:sz w:val="20"/>
                <w:szCs w:val="20"/>
                <w:color w:val="221E1F"/>
              </w:rPr>
              <w:t>154</w:t>
            </w:r>
          </w:p>
        </w:tc>
      </w:tr>
      <w:tr>
        <w:trPr>
          <w:trHeight w:val="60"/>
        </w:trPr>
        <w:tc>
          <w:tcPr>
            <w:tcW w:w="2140" w:type="dxa"/>
            <w:vAlign w:val="bottom"/>
            <w:tcBorders>
              <w:bottom w:val="single" w:sz="8" w:color="E5E5E4"/>
            </w:tcBorders>
          </w:tcPr>
          <w:p>
            <w:pPr>
              <w:spacing w:after="0"/>
              <w:rPr>
                <w:sz w:val="5"/>
                <w:szCs w:val="5"/>
                <w:color w:val="auto"/>
              </w:rPr>
            </w:pPr>
          </w:p>
        </w:tc>
        <w:tc>
          <w:tcPr>
            <w:tcW w:w="2220" w:type="dxa"/>
            <w:vAlign w:val="bottom"/>
            <w:tcBorders>
              <w:bottom w:val="single" w:sz="8" w:color="E5E5E4"/>
            </w:tcBorders>
          </w:tcPr>
          <w:p>
            <w:pPr>
              <w:spacing w:after="0"/>
              <w:rPr>
                <w:sz w:val="5"/>
                <w:szCs w:val="5"/>
                <w:color w:val="auto"/>
              </w:rPr>
            </w:pPr>
          </w:p>
        </w:tc>
        <w:tc>
          <w:tcPr>
            <w:tcW w:w="2920" w:type="dxa"/>
            <w:vAlign w:val="bottom"/>
            <w:tcBorders>
              <w:bottom w:val="single" w:sz="8" w:color="E5E5E4"/>
            </w:tcBorders>
          </w:tcPr>
          <w:p>
            <w:pPr>
              <w:spacing w:after="0"/>
              <w:rPr>
                <w:sz w:val="5"/>
                <w:szCs w:val="5"/>
                <w:color w:val="auto"/>
              </w:rPr>
            </w:pPr>
          </w:p>
        </w:tc>
        <w:tc>
          <w:tcPr>
            <w:tcW w:w="3020" w:type="dxa"/>
            <w:vAlign w:val="bottom"/>
            <w:tcBorders>
              <w:bottom w:val="single" w:sz="8" w:color="E5E5E4"/>
            </w:tcBorders>
          </w:tcPr>
          <w:p>
            <w:pPr>
              <w:spacing w:after="0"/>
              <w:rPr>
                <w:sz w:val="5"/>
                <w:szCs w:val="5"/>
                <w:color w:val="auto"/>
              </w:rPr>
            </w:pPr>
          </w:p>
        </w:tc>
      </w:tr>
      <w:tr>
        <w:trPr>
          <w:trHeight w:val="330"/>
        </w:trPr>
        <w:tc>
          <w:tcPr>
            <w:tcW w:w="2140" w:type="dxa"/>
            <w:vAlign w:val="bottom"/>
          </w:tcPr>
          <w:p>
            <w:pPr>
              <w:ind w:left="280"/>
              <w:spacing w:after="0"/>
              <w:rPr>
                <w:sz w:val="20"/>
                <w:szCs w:val="20"/>
                <w:color w:val="auto"/>
              </w:rPr>
            </w:pPr>
            <w:r>
              <w:rPr>
                <w:rFonts w:ascii="Arial" w:cs="Arial" w:eastAsia="Arial" w:hAnsi="Arial"/>
                <w:sz w:val="20"/>
                <w:szCs w:val="20"/>
                <w:color w:val="221E1F"/>
              </w:rPr>
              <w:t>Dec. 31, 2022</w:t>
            </w:r>
          </w:p>
        </w:tc>
        <w:tc>
          <w:tcPr>
            <w:tcW w:w="2220" w:type="dxa"/>
            <w:vAlign w:val="bottom"/>
          </w:tcPr>
          <w:p>
            <w:pPr>
              <w:ind w:left="880"/>
              <w:spacing w:after="0"/>
              <w:rPr>
                <w:sz w:val="20"/>
                <w:szCs w:val="20"/>
                <w:color w:val="auto"/>
              </w:rPr>
            </w:pPr>
            <w:r>
              <w:rPr>
                <w:rFonts w:ascii="Arial" w:cs="Arial" w:eastAsia="Arial" w:hAnsi="Arial"/>
                <w:sz w:val="20"/>
                <w:szCs w:val="20"/>
                <w:color w:val="221E1F"/>
              </w:rPr>
              <w:t>119</w:t>
            </w:r>
          </w:p>
        </w:tc>
        <w:tc>
          <w:tcPr>
            <w:tcW w:w="2920" w:type="dxa"/>
            <w:vAlign w:val="bottom"/>
          </w:tcPr>
          <w:p>
            <w:pPr>
              <w:ind w:left="1460"/>
              <w:spacing w:after="0"/>
              <w:rPr>
                <w:sz w:val="20"/>
                <w:szCs w:val="20"/>
                <w:color w:val="auto"/>
              </w:rPr>
            </w:pPr>
            <w:r>
              <w:rPr>
                <w:rFonts w:ascii="Arial" w:cs="Arial" w:eastAsia="Arial" w:hAnsi="Arial"/>
                <w:sz w:val="20"/>
                <w:szCs w:val="20"/>
                <w:color w:val="221E1F"/>
              </w:rPr>
              <w:t>129</w:t>
            </w:r>
          </w:p>
        </w:tc>
        <w:tc>
          <w:tcPr>
            <w:tcW w:w="3020" w:type="dxa"/>
            <w:vAlign w:val="bottom"/>
          </w:tcPr>
          <w:p>
            <w:pPr>
              <w:ind w:left="1380"/>
              <w:spacing w:after="0"/>
              <w:rPr>
                <w:sz w:val="20"/>
                <w:szCs w:val="20"/>
                <w:color w:val="auto"/>
              </w:rPr>
            </w:pPr>
            <w:r>
              <w:rPr>
                <w:rFonts w:ascii="Arial" w:cs="Arial" w:eastAsia="Arial" w:hAnsi="Arial"/>
                <w:sz w:val="20"/>
                <w:szCs w:val="20"/>
                <w:color w:val="221E1F"/>
              </w:rPr>
              <w:t>99</w:t>
            </w:r>
          </w:p>
        </w:tc>
      </w:tr>
      <w:tr>
        <w:trPr>
          <w:trHeight w:val="69"/>
        </w:trPr>
        <w:tc>
          <w:tcPr>
            <w:tcW w:w="2140" w:type="dxa"/>
            <w:vAlign w:val="bottom"/>
            <w:tcBorders>
              <w:bottom w:val="single" w:sz="8" w:color="E5E5E4"/>
            </w:tcBorders>
          </w:tcPr>
          <w:p>
            <w:pPr>
              <w:spacing w:after="0"/>
              <w:rPr>
                <w:sz w:val="6"/>
                <w:szCs w:val="6"/>
                <w:color w:val="auto"/>
              </w:rPr>
            </w:pPr>
          </w:p>
        </w:tc>
        <w:tc>
          <w:tcPr>
            <w:tcW w:w="2220" w:type="dxa"/>
            <w:vAlign w:val="bottom"/>
            <w:tcBorders>
              <w:bottom w:val="single" w:sz="8" w:color="E5E5E4"/>
            </w:tcBorders>
          </w:tcPr>
          <w:p>
            <w:pPr>
              <w:spacing w:after="0"/>
              <w:rPr>
                <w:sz w:val="6"/>
                <w:szCs w:val="6"/>
                <w:color w:val="auto"/>
              </w:rPr>
            </w:pPr>
          </w:p>
        </w:tc>
        <w:tc>
          <w:tcPr>
            <w:tcW w:w="2920" w:type="dxa"/>
            <w:vAlign w:val="bottom"/>
            <w:tcBorders>
              <w:bottom w:val="single" w:sz="8" w:color="E5E5E4"/>
            </w:tcBorders>
          </w:tcPr>
          <w:p>
            <w:pPr>
              <w:spacing w:after="0"/>
              <w:rPr>
                <w:sz w:val="6"/>
                <w:szCs w:val="6"/>
                <w:color w:val="auto"/>
              </w:rPr>
            </w:pPr>
          </w:p>
        </w:tc>
        <w:tc>
          <w:tcPr>
            <w:tcW w:w="3020" w:type="dxa"/>
            <w:vAlign w:val="bottom"/>
            <w:tcBorders>
              <w:bottom w:val="single" w:sz="8" w:color="E5E5E4"/>
            </w:tcBorders>
          </w:tcPr>
          <w:p>
            <w:pPr>
              <w:spacing w:after="0"/>
              <w:rPr>
                <w:sz w:val="6"/>
                <w:szCs w:val="6"/>
                <w:color w:val="auto"/>
              </w:rPr>
            </w:pPr>
          </w:p>
        </w:tc>
      </w:tr>
      <w:tr>
        <w:trPr>
          <w:trHeight w:val="321"/>
        </w:trPr>
        <w:tc>
          <w:tcPr>
            <w:tcW w:w="2140" w:type="dxa"/>
            <w:vAlign w:val="bottom"/>
          </w:tcPr>
          <w:p>
            <w:pPr>
              <w:ind w:left="280"/>
              <w:spacing w:after="0"/>
              <w:rPr>
                <w:sz w:val="20"/>
                <w:szCs w:val="20"/>
                <w:color w:val="auto"/>
              </w:rPr>
            </w:pPr>
            <w:r>
              <w:rPr>
                <w:rFonts w:ascii="Arial" w:cs="Arial" w:eastAsia="Arial" w:hAnsi="Arial"/>
                <w:sz w:val="20"/>
                <w:szCs w:val="20"/>
                <w:color w:val="221E1F"/>
              </w:rPr>
              <w:t>Dec. 31, 2023</w:t>
            </w:r>
          </w:p>
        </w:tc>
        <w:tc>
          <w:tcPr>
            <w:tcW w:w="2220" w:type="dxa"/>
            <w:vAlign w:val="bottom"/>
          </w:tcPr>
          <w:p>
            <w:pPr>
              <w:ind w:left="880"/>
              <w:spacing w:after="0"/>
              <w:rPr>
                <w:sz w:val="20"/>
                <w:szCs w:val="20"/>
                <w:color w:val="auto"/>
              </w:rPr>
            </w:pPr>
            <w:r>
              <w:rPr>
                <w:rFonts w:ascii="Arial" w:cs="Arial" w:eastAsia="Arial" w:hAnsi="Arial"/>
                <w:sz w:val="20"/>
                <w:szCs w:val="20"/>
                <w:color w:val="221E1F"/>
              </w:rPr>
              <w:t>148</w:t>
            </w:r>
          </w:p>
        </w:tc>
        <w:tc>
          <w:tcPr>
            <w:tcW w:w="2920" w:type="dxa"/>
            <w:vAlign w:val="bottom"/>
          </w:tcPr>
          <w:p>
            <w:pPr>
              <w:ind w:left="1460"/>
              <w:spacing w:after="0"/>
              <w:rPr>
                <w:sz w:val="20"/>
                <w:szCs w:val="20"/>
                <w:color w:val="auto"/>
              </w:rPr>
            </w:pPr>
            <w:r>
              <w:rPr>
                <w:rFonts w:ascii="Arial" w:cs="Arial" w:eastAsia="Arial" w:hAnsi="Arial"/>
                <w:sz w:val="20"/>
                <w:szCs w:val="20"/>
                <w:color w:val="221E1F"/>
              </w:rPr>
              <w:t>163</w:t>
            </w:r>
          </w:p>
        </w:tc>
        <w:tc>
          <w:tcPr>
            <w:tcW w:w="3020" w:type="dxa"/>
            <w:vAlign w:val="bottom"/>
          </w:tcPr>
          <w:p>
            <w:pPr>
              <w:ind w:left="1380"/>
              <w:spacing w:after="0"/>
              <w:rPr>
                <w:sz w:val="20"/>
                <w:szCs w:val="20"/>
                <w:color w:val="auto"/>
              </w:rPr>
            </w:pPr>
            <w:r>
              <w:rPr>
                <w:rFonts w:ascii="Arial" w:cs="Arial" w:eastAsia="Arial" w:hAnsi="Arial"/>
                <w:sz w:val="20"/>
                <w:szCs w:val="20"/>
                <w:color w:val="221E1F"/>
              </w:rPr>
              <w:t>76</w:t>
            </w:r>
          </w:p>
        </w:tc>
      </w:tr>
      <w:tr>
        <w:trPr>
          <w:trHeight w:val="79"/>
        </w:trPr>
        <w:tc>
          <w:tcPr>
            <w:tcW w:w="2140" w:type="dxa"/>
            <w:vAlign w:val="bottom"/>
            <w:tcBorders>
              <w:bottom w:val="single" w:sz="8" w:color="E5E5E4"/>
            </w:tcBorders>
          </w:tcPr>
          <w:p>
            <w:pPr>
              <w:spacing w:after="0"/>
              <w:rPr>
                <w:sz w:val="6"/>
                <w:szCs w:val="6"/>
                <w:color w:val="auto"/>
              </w:rPr>
            </w:pPr>
          </w:p>
        </w:tc>
        <w:tc>
          <w:tcPr>
            <w:tcW w:w="2220" w:type="dxa"/>
            <w:vAlign w:val="bottom"/>
            <w:tcBorders>
              <w:bottom w:val="single" w:sz="8" w:color="E5E5E4"/>
            </w:tcBorders>
          </w:tcPr>
          <w:p>
            <w:pPr>
              <w:spacing w:after="0"/>
              <w:rPr>
                <w:sz w:val="6"/>
                <w:szCs w:val="6"/>
                <w:color w:val="auto"/>
              </w:rPr>
            </w:pPr>
          </w:p>
        </w:tc>
        <w:tc>
          <w:tcPr>
            <w:tcW w:w="2920" w:type="dxa"/>
            <w:vAlign w:val="bottom"/>
            <w:tcBorders>
              <w:bottom w:val="single" w:sz="8" w:color="E5E5E4"/>
            </w:tcBorders>
          </w:tcPr>
          <w:p>
            <w:pPr>
              <w:spacing w:after="0"/>
              <w:rPr>
                <w:sz w:val="6"/>
                <w:szCs w:val="6"/>
                <w:color w:val="auto"/>
              </w:rPr>
            </w:pPr>
          </w:p>
        </w:tc>
        <w:tc>
          <w:tcPr>
            <w:tcW w:w="3020" w:type="dxa"/>
            <w:vAlign w:val="bottom"/>
            <w:tcBorders>
              <w:bottom w:val="single" w:sz="8" w:color="E5E5E4"/>
            </w:tcBorders>
          </w:tcPr>
          <w:p>
            <w:pPr>
              <w:spacing w:after="0"/>
              <w:rPr>
                <w:sz w:val="6"/>
                <w:szCs w:val="6"/>
                <w:color w:val="auto"/>
              </w:rPr>
            </w:pPr>
          </w:p>
        </w:tc>
      </w:tr>
      <w:tr>
        <w:trPr>
          <w:trHeight w:val="313"/>
        </w:trPr>
        <w:tc>
          <w:tcPr>
            <w:tcW w:w="2140" w:type="dxa"/>
            <w:vAlign w:val="bottom"/>
          </w:tcPr>
          <w:p>
            <w:pPr>
              <w:ind w:left="280"/>
              <w:spacing w:after="0"/>
              <w:rPr>
                <w:sz w:val="20"/>
                <w:szCs w:val="20"/>
                <w:color w:val="auto"/>
              </w:rPr>
            </w:pPr>
            <w:r>
              <w:rPr>
                <w:rFonts w:ascii="Arial" w:cs="Arial" w:eastAsia="Arial" w:hAnsi="Arial"/>
                <w:sz w:val="20"/>
                <w:szCs w:val="20"/>
                <w:color w:val="221E1F"/>
              </w:rPr>
              <w:t>Dec. 31, 2024</w:t>
            </w:r>
          </w:p>
        </w:tc>
        <w:tc>
          <w:tcPr>
            <w:tcW w:w="2220" w:type="dxa"/>
            <w:vAlign w:val="bottom"/>
          </w:tcPr>
          <w:p>
            <w:pPr>
              <w:ind w:left="880"/>
              <w:spacing w:after="0"/>
              <w:rPr>
                <w:sz w:val="20"/>
                <w:szCs w:val="20"/>
                <w:color w:val="auto"/>
              </w:rPr>
            </w:pPr>
            <w:r>
              <w:rPr>
                <w:rFonts w:ascii="Arial" w:cs="Arial" w:eastAsia="Arial" w:hAnsi="Arial"/>
                <w:sz w:val="20"/>
                <w:szCs w:val="20"/>
                <w:color w:val="221E1F"/>
              </w:rPr>
              <w:t>182</w:t>
            </w:r>
          </w:p>
        </w:tc>
        <w:tc>
          <w:tcPr>
            <w:tcW w:w="2920" w:type="dxa"/>
            <w:vAlign w:val="bottom"/>
          </w:tcPr>
          <w:p>
            <w:pPr>
              <w:ind w:left="1460"/>
              <w:spacing w:after="0"/>
              <w:rPr>
                <w:sz w:val="20"/>
                <w:szCs w:val="20"/>
                <w:color w:val="auto"/>
              </w:rPr>
            </w:pPr>
            <w:r>
              <w:rPr>
                <w:rFonts w:ascii="Arial" w:cs="Arial" w:eastAsia="Arial" w:hAnsi="Arial"/>
                <w:sz w:val="20"/>
                <w:szCs w:val="20"/>
                <w:color w:val="221E1F"/>
              </w:rPr>
              <w:t>132</w:t>
            </w:r>
          </w:p>
        </w:tc>
        <w:tc>
          <w:tcPr>
            <w:tcW w:w="3020" w:type="dxa"/>
            <w:vAlign w:val="bottom"/>
          </w:tcPr>
          <w:p>
            <w:pPr>
              <w:ind w:left="1380"/>
              <w:spacing w:after="0"/>
              <w:rPr>
                <w:sz w:val="20"/>
                <w:szCs w:val="20"/>
                <w:color w:val="auto"/>
              </w:rPr>
            </w:pPr>
            <w:r>
              <w:rPr>
                <w:rFonts w:ascii="Arial" w:cs="Arial" w:eastAsia="Arial" w:hAnsi="Arial"/>
                <w:sz w:val="20"/>
                <w:szCs w:val="20"/>
                <w:color w:val="221E1F"/>
              </w:rPr>
              <w:t>135</w:t>
            </w:r>
          </w:p>
        </w:tc>
      </w:tr>
      <w:tr>
        <w:trPr>
          <w:trHeight w:val="86"/>
        </w:trPr>
        <w:tc>
          <w:tcPr>
            <w:tcW w:w="2140" w:type="dxa"/>
            <w:vAlign w:val="bottom"/>
            <w:tcBorders>
              <w:bottom w:val="single" w:sz="8" w:color="E5E5E4"/>
            </w:tcBorders>
          </w:tcPr>
          <w:p>
            <w:pPr>
              <w:spacing w:after="0"/>
              <w:rPr>
                <w:sz w:val="7"/>
                <w:szCs w:val="7"/>
                <w:color w:val="auto"/>
              </w:rPr>
            </w:pPr>
          </w:p>
        </w:tc>
        <w:tc>
          <w:tcPr>
            <w:tcW w:w="2220" w:type="dxa"/>
            <w:vAlign w:val="bottom"/>
            <w:tcBorders>
              <w:bottom w:val="single" w:sz="8" w:color="E5E5E4"/>
            </w:tcBorders>
          </w:tcPr>
          <w:p>
            <w:pPr>
              <w:spacing w:after="0"/>
              <w:rPr>
                <w:sz w:val="7"/>
                <w:szCs w:val="7"/>
                <w:color w:val="auto"/>
              </w:rPr>
            </w:pPr>
          </w:p>
        </w:tc>
        <w:tc>
          <w:tcPr>
            <w:tcW w:w="2920" w:type="dxa"/>
            <w:vAlign w:val="bottom"/>
            <w:tcBorders>
              <w:bottom w:val="single" w:sz="8" w:color="E5E5E4"/>
            </w:tcBorders>
          </w:tcPr>
          <w:p>
            <w:pPr>
              <w:spacing w:after="0"/>
              <w:rPr>
                <w:sz w:val="7"/>
                <w:szCs w:val="7"/>
                <w:color w:val="auto"/>
              </w:rPr>
            </w:pPr>
          </w:p>
        </w:tc>
        <w:tc>
          <w:tcPr>
            <w:tcW w:w="3020" w:type="dxa"/>
            <w:vAlign w:val="bottom"/>
            <w:tcBorders>
              <w:bottom w:val="single" w:sz="8" w:color="E5E5E4"/>
            </w:tcBorders>
          </w:tcPr>
          <w:p>
            <w:pPr>
              <w:spacing w:after="0"/>
              <w:rPr>
                <w:sz w:val="7"/>
                <w:szCs w:val="7"/>
                <w:color w:val="auto"/>
              </w:rPr>
            </w:pPr>
          </w:p>
        </w:tc>
      </w:tr>
      <w:tr>
        <w:trPr>
          <w:trHeight w:val="304"/>
        </w:trPr>
        <w:tc>
          <w:tcPr>
            <w:tcW w:w="2140" w:type="dxa"/>
            <w:vAlign w:val="bottom"/>
          </w:tcPr>
          <w:p>
            <w:pPr>
              <w:ind w:left="280"/>
              <w:spacing w:after="0"/>
              <w:rPr>
                <w:sz w:val="20"/>
                <w:szCs w:val="20"/>
                <w:color w:val="auto"/>
              </w:rPr>
            </w:pPr>
            <w:r>
              <w:rPr>
                <w:rFonts w:ascii="Arial" w:cs="Arial" w:eastAsia="Arial" w:hAnsi="Arial"/>
                <w:sz w:val="20"/>
                <w:szCs w:val="20"/>
                <w:color w:val="221E1F"/>
              </w:rPr>
              <w:t>Dec. 31, 2025</w:t>
            </w:r>
          </w:p>
        </w:tc>
        <w:tc>
          <w:tcPr>
            <w:tcW w:w="2220" w:type="dxa"/>
            <w:vAlign w:val="bottom"/>
          </w:tcPr>
          <w:p>
            <w:pPr>
              <w:ind w:left="880"/>
              <w:spacing w:after="0"/>
              <w:rPr>
                <w:sz w:val="20"/>
                <w:szCs w:val="20"/>
                <w:color w:val="auto"/>
              </w:rPr>
            </w:pPr>
            <w:r>
              <w:rPr>
                <w:rFonts w:ascii="Arial" w:cs="Arial" w:eastAsia="Arial" w:hAnsi="Arial"/>
                <w:sz w:val="20"/>
                <w:szCs w:val="20"/>
                <w:color w:val="221E1F"/>
              </w:rPr>
              <w:t>212</w:t>
            </w:r>
          </w:p>
        </w:tc>
        <w:tc>
          <w:tcPr>
            <w:tcW w:w="2920" w:type="dxa"/>
            <w:vAlign w:val="bottom"/>
          </w:tcPr>
          <w:p>
            <w:pPr>
              <w:ind w:left="1460"/>
              <w:spacing w:after="0"/>
              <w:rPr>
                <w:sz w:val="20"/>
                <w:szCs w:val="20"/>
                <w:color w:val="auto"/>
              </w:rPr>
            </w:pPr>
            <w:r>
              <w:rPr>
                <w:rFonts w:ascii="Arial" w:cs="Arial" w:eastAsia="Arial" w:hAnsi="Arial"/>
                <w:sz w:val="20"/>
                <w:szCs w:val="20"/>
                <w:color w:val="221E1F"/>
              </w:rPr>
              <w:t>105</w:t>
            </w:r>
          </w:p>
        </w:tc>
        <w:tc>
          <w:tcPr>
            <w:tcW w:w="3020" w:type="dxa"/>
            <w:vAlign w:val="bottom"/>
          </w:tcPr>
          <w:p>
            <w:pPr>
              <w:ind w:left="1380"/>
              <w:spacing w:after="0"/>
              <w:rPr>
                <w:sz w:val="20"/>
                <w:szCs w:val="20"/>
                <w:color w:val="auto"/>
              </w:rPr>
            </w:pPr>
            <w:r>
              <w:rPr>
                <w:rFonts w:ascii="Arial" w:cs="Arial" w:eastAsia="Arial" w:hAnsi="Arial"/>
                <w:sz w:val="20"/>
                <w:szCs w:val="20"/>
                <w:color w:val="221E1F"/>
              </w:rPr>
              <w:t>63</w:t>
            </w:r>
          </w:p>
        </w:tc>
      </w:tr>
      <w:tr>
        <w:trPr>
          <w:trHeight w:val="95"/>
        </w:trPr>
        <w:tc>
          <w:tcPr>
            <w:tcW w:w="2140" w:type="dxa"/>
            <w:vAlign w:val="bottom"/>
            <w:tcBorders>
              <w:bottom w:val="single" w:sz="8" w:color="E5E5E4"/>
            </w:tcBorders>
          </w:tcPr>
          <w:p>
            <w:pPr>
              <w:spacing w:after="0"/>
              <w:rPr>
                <w:sz w:val="8"/>
                <w:szCs w:val="8"/>
                <w:color w:val="auto"/>
              </w:rPr>
            </w:pPr>
          </w:p>
        </w:tc>
        <w:tc>
          <w:tcPr>
            <w:tcW w:w="2220" w:type="dxa"/>
            <w:vAlign w:val="bottom"/>
            <w:tcBorders>
              <w:bottom w:val="single" w:sz="8" w:color="E5E5E4"/>
            </w:tcBorders>
          </w:tcPr>
          <w:p>
            <w:pPr>
              <w:spacing w:after="0"/>
              <w:rPr>
                <w:sz w:val="8"/>
                <w:szCs w:val="8"/>
                <w:color w:val="auto"/>
              </w:rPr>
            </w:pPr>
          </w:p>
        </w:tc>
        <w:tc>
          <w:tcPr>
            <w:tcW w:w="2920" w:type="dxa"/>
            <w:vAlign w:val="bottom"/>
            <w:tcBorders>
              <w:bottom w:val="single" w:sz="8" w:color="E5E5E4"/>
            </w:tcBorders>
          </w:tcPr>
          <w:p>
            <w:pPr>
              <w:spacing w:after="0"/>
              <w:rPr>
                <w:sz w:val="8"/>
                <w:szCs w:val="8"/>
                <w:color w:val="auto"/>
              </w:rPr>
            </w:pPr>
          </w:p>
        </w:tc>
        <w:tc>
          <w:tcPr>
            <w:tcW w:w="3020" w:type="dxa"/>
            <w:vAlign w:val="bottom"/>
            <w:tcBorders>
              <w:bottom w:val="single" w:sz="8" w:color="E5E5E4"/>
            </w:tcBorders>
          </w:tcPr>
          <w:p>
            <w:pPr>
              <w:spacing w:after="0"/>
              <w:rPr>
                <w:sz w:val="8"/>
                <w:szCs w:val="8"/>
                <w:color w:val="auto"/>
              </w:rPr>
            </w:pPr>
          </w:p>
        </w:tc>
      </w:tr>
    </w:tbl>
    <w:p>
      <w:pPr>
        <w:sectPr>
          <w:pgSz w:w="11880" w:h="15480" w:orient="portrait"/>
          <w:cols w:equalWidth="0" w:num="1">
            <w:col w:w="10400"/>
          </w:cols>
          <w:pgMar w:left="720" w:top="1117" w:right="760" w:bottom="1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30"/>
          <w:szCs w:val="30"/>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495300</wp:posOffset>
                </wp:positionV>
                <wp:extent cx="68580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9pt" to="567pt,39pt" o:allowincell="f" strokecolor="#231F2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548005</wp:posOffset>
                </wp:positionV>
                <wp:extent cx="68580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43.15pt" to="567pt,43.15pt" o:allowincell="f" strokecolor="#231F20" strokeweight="1pt">
                <w10:wrap anchorx="page" anchory="page"/>
              </v:line>
            </w:pict>
          </mc:Fallback>
        </mc:AlternateContent>
        <w:t>UNITED STATES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231F20"/>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2926080</wp:posOffset>
                </wp:positionH>
                <wp:positionV relativeFrom="paragraph">
                  <wp:posOffset>64770</wp:posOffset>
                </wp:positionV>
                <wp:extent cx="100584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5.1pt" to="309.6pt,5.1pt" o:allowincell="f" strokecolor="#231F20" strokeweight="1pt"/>
            </w:pict>
          </mc:Fallback>
        </mc:AlternateConten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2926080</wp:posOffset>
                </wp:positionH>
                <wp:positionV relativeFrom="paragraph">
                  <wp:posOffset>79375</wp:posOffset>
                </wp:positionV>
                <wp:extent cx="100584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6.25pt" to="309.6pt,6.25pt" o:allowincell="f" strokecolor="#231F20" strokeweight="1pt"/>
            </w:pict>
          </mc:Fallback>
        </mc:AlternateConten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 One)</w:t>
      </w:r>
    </w:p>
    <w:p>
      <w:pPr>
        <w:spacing w:after="0" w:line="120" w:lineRule="exact"/>
        <w:rPr>
          <w:sz w:val="20"/>
          <w:szCs w:val="20"/>
          <w:color w:val="auto"/>
        </w:rPr>
      </w:pPr>
    </w:p>
    <w:p>
      <w:pPr>
        <w:ind w:left="3700" w:right="1420" w:hanging="3700"/>
        <w:spacing w:after="0" w:line="336" w:lineRule="auto"/>
        <w:tabs>
          <w:tab w:leader="none" w:pos="540" w:val="left"/>
        </w:tabs>
        <w:numPr>
          <w:ilvl w:val="0"/>
          <w:numId w:val="3"/>
        </w:numPr>
        <w:rPr>
          <w:rFonts w:ascii="Segoe UI Symbol" w:cs="Segoe UI Symbol" w:eastAsia="Segoe UI Symbol" w:hAnsi="Segoe UI Symbol"/>
          <w:sz w:val="18"/>
          <w:szCs w:val="18"/>
          <w:color w:val="231F20"/>
        </w:rPr>
      </w:pPr>
      <w:r>
        <w:rPr>
          <w:rFonts w:ascii="Times New Roman" w:cs="Times New Roman" w:eastAsia="Times New Roman" w:hAnsi="Times New Roman"/>
          <w:sz w:val="18"/>
          <w:szCs w:val="18"/>
          <w:b w:val="1"/>
          <w:bCs w:val="1"/>
          <w:color w:val="231F20"/>
        </w:rPr>
        <w:t>ANNUAL REPORT PURSUANT TO SECTION 13 OR 15(D) OF THE SECURITIES EXCHANGE ACT OF 1934 For the fiscal year ended December 31, 2025</w:t>
      </w:r>
    </w:p>
    <w:p>
      <w:pPr>
        <w:spacing w:after="0" w:line="61" w:lineRule="exact"/>
        <w:rPr>
          <w:sz w:val="20"/>
          <w:szCs w:val="20"/>
          <w:color w:val="auto"/>
        </w:rPr>
      </w:pPr>
    </w:p>
    <w:p>
      <w:pPr>
        <w:ind w:left="4000" w:right="1040" w:hanging="4000"/>
        <w:spacing w:after="0" w:line="317" w:lineRule="auto"/>
        <w:tabs>
          <w:tab w:leader="none" w:pos="537" w:val="left"/>
        </w:tabs>
        <w:numPr>
          <w:ilvl w:val="0"/>
          <w:numId w:val="4"/>
        </w:numPr>
        <w:rPr>
          <w:rFonts w:ascii="Segoe UI Symbol" w:cs="Segoe UI Symbol" w:eastAsia="Segoe UI Symbol" w:hAnsi="Segoe UI Symbol"/>
          <w:sz w:val="18"/>
          <w:szCs w:val="18"/>
          <w:color w:val="231F20"/>
        </w:rPr>
      </w:pPr>
      <w:r>
        <w:rPr>
          <w:rFonts w:ascii="Times New Roman" w:cs="Times New Roman" w:eastAsia="Times New Roman" w:hAnsi="Times New Roman"/>
          <w:sz w:val="18"/>
          <w:szCs w:val="18"/>
          <w:b w:val="1"/>
          <w:bCs w:val="1"/>
          <w:color w:val="231F20"/>
        </w:rPr>
        <w:t>TRANSITION REPORT PURSUANT TO SECTION 13 OR 15(D) OF THE SECURITIES EXCHANGE ACT OF 1934 Commission File Number 001-34099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2926080</wp:posOffset>
                </wp:positionH>
                <wp:positionV relativeFrom="paragraph">
                  <wp:posOffset>-3175</wp:posOffset>
                </wp:positionV>
                <wp:extent cx="100584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0.2499pt" to="309.6pt,-0.2499pt" o:allowincell="f" strokecolor="#231F20" strokeweight="1pt"/>
            </w:pict>
          </mc:Fallback>
        </mc:AlternateContent>
      </w:r>
    </w:p>
    <w:p>
      <w:pPr>
        <w:jc w:val="center"/>
        <w:ind w:right="-19"/>
        <w:spacing w:after="0"/>
        <w:rPr>
          <w:sz w:val="20"/>
          <w:szCs w:val="20"/>
          <w:color w:val="auto"/>
        </w:rPr>
      </w:pPr>
      <w:r>
        <w:rPr>
          <w:rFonts w:ascii="Times New Roman" w:cs="Times New Roman" w:eastAsia="Times New Roman" w:hAnsi="Times New Roman"/>
          <w:sz w:val="40"/>
          <w:szCs w:val="40"/>
          <w:b w:val="1"/>
          <w:bCs w:val="1"/>
          <w:color w:val="231F20"/>
        </w:rPr>
        <w:t>MASTECH DIGITAL, INC.</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2926080</wp:posOffset>
                </wp:positionH>
                <wp:positionV relativeFrom="paragraph">
                  <wp:posOffset>52070</wp:posOffset>
                </wp:positionV>
                <wp:extent cx="100584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4.1pt" to="309.6pt,4.1pt" o:allowincell="f" strokecolor="#231F20" strokeweight="1pt"/>
            </w:pict>
          </mc:Fallback>
        </mc:AlternateContent>
      </w:r>
    </w:p>
    <w:p>
      <w:pPr>
        <w:spacing w:after="0" w:line="144" w:lineRule="exact"/>
        <w:rPr>
          <w:sz w:val="20"/>
          <w:szCs w:val="20"/>
          <w:color w:val="auto"/>
        </w:rPr>
      </w:pPr>
    </w:p>
    <w:tbl>
      <w:tblPr>
        <w:tblLayout w:type="fixed"/>
        <w:tblInd w:w="720" w:type="dxa"/>
        <w:tblCellMar>
          <w:top w:w="0" w:type="dxa"/>
          <w:left w:w="0" w:type="dxa"/>
          <w:bottom w:w="0" w:type="dxa"/>
          <w:right w:w="0" w:type="dxa"/>
        </w:tblCellMar>
      </w:tblPr>
      <w:tr>
        <w:trPr>
          <w:trHeight w:val="208"/>
        </w:trPr>
        <w:tc>
          <w:tcPr>
            <w:tcW w:w="5360" w:type="dxa"/>
            <w:vAlign w:val="bottom"/>
          </w:tcPr>
          <w:p>
            <w:pPr>
              <w:jc w:val="center"/>
              <w:ind w:right="1315"/>
              <w:spacing w:after="0"/>
              <w:rPr>
                <w:sz w:val="20"/>
                <w:szCs w:val="20"/>
                <w:color w:val="auto"/>
              </w:rPr>
            </w:pPr>
            <w:r>
              <w:rPr>
                <w:rFonts w:ascii="Times New Roman" w:cs="Times New Roman" w:eastAsia="Times New Roman" w:hAnsi="Times New Roman"/>
                <w:sz w:val="18"/>
                <w:szCs w:val="18"/>
                <w:b w:val="1"/>
                <w:bCs w:val="1"/>
                <w:color w:val="231F20"/>
              </w:rPr>
              <w:t>PENNSYLVANIA</w:t>
            </w:r>
          </w:p>
        </w:tc>
        <w:tc>
          <w:tcPr>
            <w:tcW w:w="264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231F20"/>
              </w:rPr>
              <w:t>26-2753540</w:t>
            </w:r>
          </w:p>
        </w:tc>
      </w:tr>
      <w:tr>
        <w:trPr>
          <w:trHeight w:val="184"/>
        </w:trPr>
        <w:tc>
          <w:tcPr>
            <w:tcW w:w="5360" w:type="dxa"/>
            <w:vAlign w:val="bottom"/>
          </w:tcPr>
          <w:p>
            <w:pPr>
              <w:jc w:val="center"/>
              <w:ind w:right="1315"/>
              <w:spacing w:after="0"/>
              <w:rPr>
                <w:sz w:val="20"/>
                <w:szCs w:val="20"/>
                <w:color w:val="auto"/>
              </w:rPr>
            </w:pPr>
            <w:r>
              <w:rPr>
                <w:rFonts w:ascii="Times New Roman" w:cs="Times New Roman" w:eastAsia="Times New Roman" w:hAnsi="Times New Roman"/>
                <w:sz w:val="16"/>
                <w:szCs w:val="16"/>
                <w:b w:val="1"/>
                <w:bCs w:val="1"/>
                <w:color w:val="231F20"/>
                <w:w w:val="99"/>
              </w:rPr>
              <w:t>(State or other jurisdiction of</w:t>
            </w:r>
          </w:p>
        </w:tc>
        <w:tc>
          <w:tcPr>
            <w:tcW w:w="2640" w:type="dxa"/>
            <w:vAlign w:val="bottom"/>
          </w:tcPr>
          <w:p>
            <w:pPr>
              <w:jc w:val="center"/>
              <w:ind w:left="1316"/>
              <w:spacing w:after="0"/>
              <w:rPr>
                <w:sz w:val="20"/>
                <w:szCs w:val="20"/>
                <w:color w:val="auto"/>
              </w:rPr>
            </w:pPr>
            <w:r>
              <w:rPr>
                <w:rFonts w:ascii="Times New Roman" w:cs="Times New Roman" w:eastAsia="Times New Roman" w:hAnsi="Times New Roman"/>
                <w:sz w:val="16"/>
                <w:szCs w:val="16"/>
                <w:b w:val="1"/>
                <w:bCs w:val="1"/>
                <w:color w:val="231F20"/>
              </w:rPr>
              <w:t>(I.R.S. Employer</w:t>
            </w:r>
          </w:p>
        </w:tc>
      </w:tr>
      <w:tr>
        <w:trPr>
          <w:trHeight w:val="221"/>
        </w:trPr>
        <w:tc>
          <w:tcPr>
            <w:tcW w:w="5360" w:type="dxa"/>
            <w:vAlign w:val="bottom"/>
          </w:tcPr>
          <w:p>
            <w:pPr>
              <w:jc w:val="center"/>
              <w:ind w:right="1315"/>
              <w:spacing w:after="0"/>
              <w:rPr>
                <w:sz w:val="20"/>
                <w:szCs w:val="20"/>
                <w:color w:val="auto"/>
              </w:rPr>
            </w:pPr>
            <w:r>
              <w:rPr>
                <w:rFonts w:ascii="Times New Roman" w:cs="Times New Roman" w:eastAsia="Times New Roman" w:hAnsi="Times New Roman"/>
                <w:sz w:val="16"/>
                <w:szCs w:val="16"/>
                <w:b w:val="1"/>
                <w:bCs w:val="1"/>
                <w:color w:val="231F20"/>
                <w:w w:val="99"/>
              </w:rPr>
              <w:t>incorporation or organization)</w:t>
            </w:r>
          </w:p>
        </w:tc>
        <w:tc>
          <w:tcPr>
            <w:tcW w:w="2640" w:type="dxa"/>
            <w:vAlign w:val="bottom"/>
          </w:tcPr>
          <w:p>
            <w:pPr>
              <w:jc w:val="center"/>
              <w:ind w:left="1316"/>
              <w:spacing w:after="0"/>
              <w:rPr>
                <w:sz w:val="20"/>
                <w:szCs w:val="20"/>
                <w:color w:val="auto"/>
              </w:rPr>
            </w:pPr>
            <w:r>
              <w:rPr>
                <w:rFonts w:ascii="Times New Roman" w:cs="Times New Roman" w:eastAsia="Times New Roman" w:hAnsi="Times New Roman"/>
                <w:sz w:val="16"/>
                <w:szCs w:val="16"/>
                <w:b w:val="1"/>
                <w:bCs w:val="1"/>
                <w:color w:val="231F20"/>
                <w:w w:val="98"/>
              </w:rPr>
              <w:t>Identification No.)</w:t>
            </w:r>
          </w:p>
        </w:tc>
      </w:tr>
      <w:tr>
        <w:trPr>
          <w:trHeight w:val="261"/>
        </w:trPr>
        <w:tc>
          <w:tcPr>
            <w:tcW w:w="5360" w:type="dxa"/>
            <w:vAlign w:val="bottom"/>
          </w:tcPr>
          <w:p>
            <w:pPr>
              <w:jc w:val="center"/>
              <w:ind w:right="1315"/>
              <w:spacing w:after="0"/>
              <w:rPr>
                <w:sz w:val="20"/>
                <w:szCs w:val="20"/>
                <w:color w:val="auto"/>
              </w:rPr>
            </w:pPr>
            <w:r>
              <w:rPr>
                <w:rFonts w:ascii="Times New Roman" w:cs="Times New Roman" w:eastAsia="Times New Roman" w:hAnsi="Times New Roman"/>
                <w:sz w:val="18"/>
                <w:szCs w:val="18"/>
                <w:b w:val="1"/>
                <w:bCs w:val="1"/>
                <w:color w:val="231F20"/>
                <w:w w:val="99"/>
              </w:rPr>
              <w:t>1305 Cherrington Parkway, Building 210, Suite 400</w:t>
            </w:r>
          </w:p>
        </w:tc>
        <w:tc>
          <w:tcPr>
            <w:tcW w:w="2640" w:type="dxa"/>
            <w:vAlign w:val="bottom"/>
          </w:tcPr>
          <w:p>
            <w:pPr>
              <w:spacing w:after="0"/>
              <w:rPr>
                <w:sz w:val="22"/>
                <w:szCs w:val="22"/>
                <w:color w:val="auto"/>
              </w:rPr>
            </w:pPr>
          </w:p>
        </w:tc>
      </w:tr>
      <w:tr>
        <w:trPr>
          <w:trHeight w:val="208"/>
        </w:trPr>
        <w:tc>
          <w:tcPr>
            <w:tcW w:w="5360" w:type="dxa"/>
            <w:vAlign w:val="bottom"/>
          </w:tcPr>
          <w:p>
            <w:pPr>
              <w:jc w:val="center"/>
              <w:ind w:right="1315"/>
              <w:spacing w:after="0"/>
              <w:rPr>
                <w:sz w:val="20"/>
                <w:szCs w:val="20"/>
                <w:color w:val="auto"/>
              </w:rPr>
            </w:pPr>
            <w:r>
              <w:rPr>
                <w:rFonts w:ascii="Times New Roman" w:cs="Times New Roman" w:eastAsia="Times New Roman" w:hAnsi="Times New Roman"/>
                <w:sz w:val="18"/>
                <w:szCs w:val="18"/>
                <w:b w:val="1"/>
                <w:bCs w:val="1"/>
                <w:color w:val="231F20"/>
              </w:rPr>
              <w:t>Moon Township, PA</w:t>
            </w:r>
          </w:p>
        </w:tc>
        <w:tc>
          <w:tcPr>
            <w:tcW w:w="264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231F20"/>
              </w:rPr>
              <w:t>15108</w:t>
            </w:r>
          </w:p>
        </w:tc>
      </w:tr>
      <w:tr>
        <w:trPr>
          <w:trHeight w:val="221"/>
        </w:trPr>
        <w:tc>
          <w:tcPr>
            <w:tcW w:w="5360" w:type="dxa"/>
            <w:vAlign w:val="bottom"/>
          </w:tcPr>
          <w:p>
            <w:pPr>
              <w:jc w:val="center"/>
              <w:ind w:right="1315"/>
              <w:spacing w:after="0"/>
              <w:rPr>
                <w:sz w:val="20"/>
                <w:szCs w:val="20"/>
                <w:color w:val="auto"/>
              </w:rPr>
            </w:pPr>
            <w:r>
              <w:rPr>
                <w:rFonts w:ascii="Times New Roman" w:cs="Times New Roman" w:eastAsia="Times New Roman" w:hAnsi="Times New Roman"/>
                <w:sz w:val="16"/>
                <w:szCs w:val="16"/>
                <w:b w:val="1"/>
                <w:bCs w:val="1"/>
                <w:color w:val="231F20"/>
                <w:w w:val="99"/>
              </w:rPr>
              <w:t>(Address of principal executive offices)</w:t>
            </w:r>
          </w:p>
        </w:tc>
        <w:tc>
          <w:tcPr>
            <w:tcW w:w="2640" w:type="dxa"/>
            <w:vAlign w:val="bottom"/>
          </w:tcPr>
          <w:p>
            <w:pPr>
              <w:jc w:val="center"/>
              <w:ind w:left="1316"/>
              <w:spacing w:after="0"/>
              <w:rPr>
                <w:sz w:val="20"/>
                <w:szCs w:val="20"/>
                <w:color w:val="auto"/>
              </w:rPr>
            </w:pPr>
            <w:r>
              <w:rPr>
                <w:rFonts w:ascii="Times New Roman" w:cs="Times New Roman" w:eastAsia="Times New Roman" w:hAnsi="Times New Roman"/>
                <w:sz w:val="16"/>
                <w:szCs w:val="16"/>
                <w:b w:val="1"/>
                <w:bCs w:val="1"/>
                <w:color w:val="231F20"/>
              </w:rPr>
              <w:t>(Zip Code)</w:t>
            </w: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(412) 787-2100</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spacing w:after="0" w:line="9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Name of exchange</w:t>
            </w:r>
          </w:p>
        </w:tc>
      </w:tr>
      <w:tr>
        <w:trPr>
          <w:trHeight w:val="203"/>
        </w:trPr>
        <w:tc>
          <w:tcPr>
            <w:tcW w:w="560" w:type="dxa"/>
            <w:vAlign w:val="bottom"/>
          </w:tcPr>
          <w:p>
            <w:pPr>
              <w:spacing w:after="0"/>
              <w:rPr>
                <w:sz w:val="17"/>
                <w:szCs w:val="17"/>
                <w:color w:val="auto"/>
              </w:rPr>
            </w:pPr>
          </w:p>
        </w:tc>
        <w:tc>
          <w:tcPr>
            <w:tcW w:w="2760" w:type="dxa"/>
            <w:vAlign w:val="bottom"/>
            <w:gridSpan w:val="2"/>
          </w:tcPr>
          <w:p>
            <w:pPr>
              <w:jc w:val="center"/>
              <w:ind w:right="1520"/>
              <w:spacing w:after="0"/>
              <w:rPr>
                <w:sz w:val="20"/>
                <w:szCs w:val="20"/>
                <w:color w:val="auto"/>
              </w:rPr>
            </w:pPr>
            <w:r>
              <w:rPr>
                <w:rFonts w:ascii="Times New Roman" w:cs="Times New Roman" w:eastAsia="Times New Roman" w:hAnsi="Times New Roman"/>
                <w:sz w:val="16"/>
                <w:szCs w:val="16"/>
                <w:b w:val="1"/>
                <w:bCs w:val="1"/>
                <w:color w:val="231F20"/>
                <w:w w:val="99"/>
              </w:rPr>
              <w:t>Title of each class</w:t>
            </w:r>
          </w:p>
        </w:tc>
        <w:tc>
          <w:tcPr>
            <w:tcW w:w="32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Trading Symbol</w:t>
            </w:r>
          </w:p>
        </w:tc>
        <w:tc>
          <w:tcPr>
            <w:tcW w:w="2520" w:type="dxa"/>
            <w:vAlign w:val="bottom"/>
            <w:gridSpan w:val="2"/>
          </w:tcPr>
          <w:p>
            <w:pPr>
              <w:jc w:val="center"/>
              <w:ind w:left="1095"/>
              <w:spacing w:after="0"/>
              <w:rPr>
                <w:sz w:val="20"/>
                <w:szCs w:val="20"/>
                <w:color w:val="auto"/>
              </w:rPr>
            </w:pPr>
            <w:r>
              <w:rPr>
                <w:rFonts w:ascii="Times New Roman" w:cs="Times New Roman" w:eastAsia="Times New Roman" w:hAnsi="Times New Roman"/>
                <w:sz w:val="16"/>
                <w:szCs w:val="16"/>
                <w:b w:val="1"/>
                <w:bCs w:val="1"/>
                <w:color w:val="231F20"/>
                <w:w w:val="99"/>
              </w:rPr>
              <w:t>on which registered</w:t>
            </w:r>
          </w:p>
        </w:tc>
      </w:tr>
      <w:tr>
        <w:trPr>
          <w:trHeight w:val="20"/>
        </w:trPr>
        <w:tc>
          <w:tcPr>
            <w:tcW w:w="560" w:type="dxa"/>
            <w:vAlign w:val="bottom"/>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r>
      <w:tr>
        <w:trPr>
          <w:trHeight w:val="266"/>
        </w:trPr>
        <w:tc>
          <w:tcPr>
            <w:tcW w:w="33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231F20"/>
                <w:w w:val="99"/>
              </w:rPr>
              <w:t>Common Stock, $.01 par value</w:t>
            </w:r>
          </w:p>
        </w:tc>
        <w:tc>
          <w:tcPr>
            <w:tcW w:w="980" w:type="dxa"/>
            <w:vAlign w:val="bottom"/>
          </w:tcPr>
          <w:p>
            <w:pPr>
              <w:spacing w:after="0"/>
              <w:rPr>
                <w:sz w:val="23"/>
                <w:szCs w:val="23"/>
                <w:color w:val="auto"/>
              </w:rPr>
            </w:pPr>
          </w:p>
        </w:tc>
        <w:tc>
          <w:tcPr>
            <w:tcW w:w="23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231F20"/>
              </w:rPr>
              <w:t>MHH</w:t>
            </w:r>
          </w:p>
        </w:tc>
        <w:tc>
          <w:tcPr>
            <w:tcW w:w="2520" w:type="dxa"/>
            <w:vAlign w:val="bottom"/>
            <w:gridSpan w:val="2"/>
          </w:tcPr>
          <w:p>
            <w:pPr>
              <w:jc w:val="center"/>
              <w:ind w:left="1095"/>
              <w:spacing w:after="0"/>
              <w:rPr>
                <w:sz w:val="20"/>
                <w:szCs w:val="20"/>
                <w:color w:val="auto"/>
              </w:rPr>
            </w:pPr>
            <w:r>
              <w:rPr>
                <w:rFonts w:ascii="Times New Roman" w:cs="Times New Roman" w:eastAsia="Times New Roman" w:hAnsi="Times New Roman"/>
                <w:sz w:val="18"/>
                <w:szCs w:val="18"/>
                <w:b w:val="1"/>
                <w:bCs w:val="1"/>
                <w:color w:val="231F20"/>
              </w:rPr>
              <w:t>NYSE American</w:t>
            </w:r>
          </w:p>
        </w:tc>
      </w:tr>
    </w:tbl>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2926080</wp:posOffset>
                </wp:positionH>
                <wp:positionV relativeFrom="paragraph">
                  <wp:posOffset>69850</wp:posOffset>
                </wp:positionV>
                <wp:extent cx="10058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584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5.5pt" to="309.6pt,5.5pt" o:allowincell="f" strokecolor="#231F20" strokeweight="1pt"/>
            </w:pict>
          </mc:Fallback>
        </mc:AlternateConten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Indicate by check mark if the registrant is a well-known seasoned issuer, as defined in Rule 405 of the Securities Act. Yes</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w:t>
      </w:r>
      <w:r>
        <w:rPr>
          <w:rFonts w:ascii="Segoe UI Symbol" w:cs="Segoe UI Symbol" w:eastAsia="Segoe UI Symbol" w:hAnsi="Segoe UI Symbol"/>
          <w:sz w:val="16"/>
          <w:szCs w:val="16"/>
          <w:color w:val="231F20"/>
        </w:rPr>
        <w: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Indicate by check mark if the registrant is not required to file reports pursuant to Section 13 or Section 15(d) of the Exchange Act. Yes</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w:t>
      </w:r>
      <w:r>
        <w:rPr>
          <w:rFonts w:ascii="Segoe UI Symbol" w:cs="Segoe UI Symbol" w:eastAsia="Segoe UI Symbol" w:hAnsi="Segoe UI Symbol"/>
          <w:sz w:val="16"/>
          <w:szCs w:val="16"/>
          <w:color w:val="231F20"/>
        </w:rPr>
        <w:t>☒</w:t>
      </w:r>
    </w:p>
    <w:p>
      <w:pPr>
        <w:spacing w:after="0" w:line="40" w:lineRule="exact"/>
        <w:rPr>
          <w:sz w:val="20"/>
          <w:szCs w:val="20"/>
          <w:color w:val="auto"/>
        </w:rPr>
      </w:pPr>
    </w:p>
    <w:p>
      <w:pPr>
        <w:ind w:right="100" w:firstLine="490"/>
        <w:spacing w:after="0" w:line="264"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w:t>
      </w:r>
      <w:r>
        <w:rPr>
          <w:rFonts w:ascii="Segoe UI Symbol" w:cs="Segoe UI Symbol" w:eastAsia="Segoe UI Symbol" w:hAnsi="Segoe UI Symbol"/>
          <w:sz w:val="16"/>
          <w:szCs w:val="16"/>
          <w:color w:val="231F20"/>
        </w:rPr>
        <w:t>☐</w:t>
      </w:r>
    </w:p>
    <w:p>
      <w:pPr>
        <w:ind w:right="620" w:firstLine="490"/>
        <w:spacing w:after="0" w:line="264" w:lineRule="auto"/>
        <w:rPr>
          <w:sz w:val="20"/>
          <w:szCs w:val="20"/>
          <w:color w:val="auto"/>
        </w:rPr>
      </w:pPr>
      <w:r>
        <w:rPr>
          <w:rFonts w:ascii="Times New Roman" w:cs="Times New Roman" w:eastAsia="Times New Roman" w:hAnsi="Times New Roman"/>
          <w:sz w:val="16"/>
          <w:szCs w:val="16"/>
          <w:color w:val="231F20"/>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w:t>
      </w:r>
      <w:r>
        <w:rPr>
          <w:rFonts w:ascii="Segoe UI Symbol" w:cs="Segoe UI Symbol" w:eastAsia="Segoe UI Symbol" w:hAnsi="Segoe UI Symbol"/>
          <w:sz w:val="16"/>
          <w:szCs w:val="16"/>
          <w:color w:val="231F20"/>
        </w:rPr>
        <w:t>☐</w:t>
      </w:r>
    </w:p>
    <w:p>
      <w:pPr>
        <w:ind w:right="100" w:firstLine="490"/>
        <w:spacing w:after="0" w:line="255"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231F20"/>
              </w:rPr>
              <w:t>Large accelerated filer</w:t>
            </w:r>
          </w:p>
        </w:tc>
        <w:tc>
          <w:tcPr>
            <w:tcW w:w="3280" w:type="dxa"/>
            <w:vAlign w:val="bottom"/>
          </w:tcPr>
          <w:p>
            <w:pPr>
              <w:ind w:left="180"/>
              <w:spacing w:after="0"/>
              <w:rPr>
                <w:sz w:val="20"/>
                <w:szCs w:val="20"/>
                <w:color w:val="auto"/>
              </w:rPr>
            </w:pPr>
            <w:r>
              <w:rPr>
                <w:rFonts w:ascii="Segoe UI Symbol" w:cs="Segoe UI Symbol" w:eastAsia="Segoe UI Symbol" w:hAnsi="Segoe UI Symbol"/>
                <w:sz w:val="16"/>
                <w:szCs w:val="16"/>
                <w:color w:val="231F20"/>
              </w:rPr>
              <w:t>☐</w:t>
            </w:r>
          </w:p>
        </w:tc>
        <w:tc>
          <w:tcPr>
            <w:tcW w:w="4980" w:type="dxa"/>
            <w:vAlign w:val="bottom"/>
          </w:tcPr>
          <w:p>
            <w:pPr>
              <w:ind w:left="2940"/>
              <w:spacing w:after="0"/>
              <w:rPr>
                <w:sz w:val="20"/>
                <w:szCs w:val="20"/>
                <w:color w:val="auto"/>
              </w:rPr>
            </w:pPr>
            <w:r>
              <w:rPr>
                <w:rFonts w:ascii="Times New Roman" w:cs="Times New Roman" w:eastAsia="Times New Roman" w:hAnsi="Times New Roman"/>
                <w:sz w:val="16"/>
                <w:szCs w:val="16"/>
                <w:color w:val="231F20"/>
              </w:rPr>
              <w:t>Accelerated filer</w:t>
            </w:r>
          </w:p>
        </w:tc>
        <w:tc>
          <w:tcPr>
            <w:tcW w:w="440" w:type="dxa"/>
            <w:vAlign w:val="bottom"/>
          </w:tcPr>
          <w:p>
            <w:pPr>
              <w:ind w:left="300"/>
              <w:spacing w:after="0"/>
              <w:rPr>
                <w:sz w:val="20"/>
                <w:szCs w:val="20"/>
                <w:color w:val="auto"/>
              </w:rPr>
            </w:pPr>
            <w:r>
              <w:rPr>
                <w:rFonts w:ascii="Segoe UI Symbol" w:cs="Segoe UI Symbol" w:eastAsia="Segoe UI Symbol" w:hAnsi="Segoe UI Symbol"/>
                <w:sz w:val="16"/>
                <w:szCs w:val="16"/>
                <w:color w:val="231F20"/>
                <w:w w:val="86"/>
              </w:rPr>
              <w:t>☐</w:t>
            </w:r>
          </w:p>
        </w:tc>
      </w:tr>
      <w:tr>
        <w:trPr>
          <w:trHeight w:val="259"/>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3280" w:type="dxa"/>
            <w:vAlign w:val="bottom"/>
          </w:tcPr>
          <w:p>
            <w:pPr>
              <w:ind w:left="180"/>
              <w:spacing w:after="0"/>
              <w:rPr>
                <w:sz w:val="20"/>
                <w:szCs w:val="20"/>
                <w:color w:val="auto"/>
              </w:rPr>
            </w:pPr>
            <w:r>
              <w:rPr>
                <w:rFonts w:ascii="Segoe UI Symbol" w:cs="Segoe UI Symbol" w:eastAsia="Segoe UI Symbol" w:hAnsi="Segoe UI Symbol"/>
                <w:sz w:val="16"/>
                <w:szCs w:val="16"/>
                <w:color w:val="231F20"/>
              </w:rPr>
              <w:t>☒</w:t>
            </w:r>
          </w:p>
        </w:tc>
        <w:tc>
          <w:tcPr>
            <w:tcW w:w="4980" w:type="dxa"/>
            <w:vAlign w:val="bottom"/>
          </w:tcPr>
          <w:p>
            <w:pPr>
              <w:ind w:left="294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440" w:type="dxa"/>
            <w:vAlign w:val="bottom"/>
          </w:tcPr>
          <w:p>
            <w:pPr>
              <w:ind w:left="300"/>
              <w:spacing w:after="0"/>
              <w:rPr>
                <w:sz w:val="20"/>
                <w:szCs w:val="20"/>
                <w:color w:val="auto"/>
              </w:rPr>
            </w:pPr>
            <w:r>
              <w:rPr>
                <w:rFonts w:ascii="Segoe UI Symbol" w:cs="Segoe UI Symbol" w:eastAsia="Segoe UI Symbol" w:hAnsi="Segoe UI Symbol"/>
                <w:sz w:val="16"/>
                <w:szCs w:val="16"/>
                <w:color w:val="231F20"/>
                <w:w w:val="86"/>
              </w:rPr>
              <w:t>☒</w:t>
            </w:r>
          </w:p>
        </w:tc>
      </w:tr>
      <w:tr>
        <w:trPr>
          <w:trHeight w:val="261"/>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231F20"/>
              </w:rPr>
              <w:t>Emerging growth company</w:t>
            </w:r>
          </w:p>
        </w:tc>
        <w:tc>
          <w:tcPr>
            <w:tcW w:w="3280" w:type="dxa"/>
            <w:vAlign w:val="bottom"/>
          </w:tcPr>
          <w:p>
            <w:pPr>
              <w:ind w:left="180"/>
              <w:spacing w:after="0"/>
              <w:rPr>
                <w:sz w:val="20"/>
                <w:szCs w:val="20"/>
                <w:color w:val="auto"/>
              </w:rPr>
            </w:pPr>
            <w:r>
              <w:rPr>
                <w:rFonts w:ascii="Segoe UI Symbol" w:cs="Segoe UI Symbol" w:eastAsia="Segoe UI Symbol" w:hAnsi="Segoe UI Symbol"/>
                <w:sz w:val="16"/>
                <w:szCs w:val="16"/>
                <w:color w:val="231F20"/>
              </w:rPr>
              <w:t>☐</w:t>
            </w:r>
          </w:p>
        </w:tc>
        <w:tc>
          <w:tcPr>
            <w:tcW w:w="49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ind w:right="260" w:firstLine="490"/>
        <w:spacing w:after="0" w:line="264" w:lineRule="auto"/>
        <w:rPr>
          <w:sz w:val="20"/>
          <w:szCs w:val="20"/>
          <w:color w:val="auto"/>
        </w:rPr>
      </w:pPr>
      <w:r>
        <w:rPr>
          <w:rFonts w:ascii="Times New Roman" w:cs="Times New Roman" w:eastAsia="Times New Roman" w:hAnsi="Times New Roman"/>
          <w:sz w:val="16"/>
          <w:szCs w:val="16"/>
          <w:color w:val="231F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Segoe UI Symbol" w:cs="Segoe UI Symbol" w:eastAsia="Segoe UI Symbol" w:hAnsi="Segoe UI Symbol"/>
          <w:sz w:val="16"/>
          <w:szCs w:val="16"/>
          <w:color w:val="231F20"/>
        </w:rPr>
        <w:t>☐</w:t>
      </w:r>
    </w:p>
    <w:p>
      <w:pPr>
        <w:ind w:firstLine="490"/>
        <w:spacing w:after="0" w:line="246" w:lineRule="auto"/>
        <w:rPr>
          <w:sz w:val="20"/>
          <w:szCs w:val="20"/>
          <w:color w:val="auto"/>
        </w:rPr>
      </w:pPr>
      <w:r>
        <w:rPr>
          <w:rFonts w:ascii="Times New Roman" w:cs="Times New Roman" w:eastAsia="Times New Roman" w:hAnsi="Times New Roman"/>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report.</w:t>
      </w:r>
      <w:r>
        <w:rPr>
          <w:rFonts w:ascii="Segoe UI Symbol" w:cs="Segoe UI Symbol" w:eastAsia="Segoe UI Symbol" w:hAnsi="Segoe UI Symbol"/>
          <w:sz w:val="16"/>
          <w:szCs w:val="16"/>
          <w:color w:val="231F20"/>
        </w:rPr>
        <w:t>☐</w:t>
      </w:r>
    </w:p>
    <w:p>
      <w:pPr>
        <w:spacing w:after="0" w:line="30" w:lineRule="exact"/>
        <w:rPr>
          <w:sz w:val="20"/>
          <w:szCs w:val="20"/>
          <w:color w:val="auto"/>
        </w:rPr>
      </w:pPr>
    </w:p>
    <w:p>
      <w:pPr>
        <w:ind w:right="180" w:firstLine="490"/>
        <w:spacing w:after="0" w:line="264" w:lineRule="auto"/>
        <w:rPr>
          <w:sz w:val="20"/>
          <w:szCs w:val="20"/>
          <w:color w:val="auto"/>
        </w:rPr>
      </w:pPr>
      <w:r>
        <w:rPr>
          <w:rFonts w:ascii="Times New Roman" w:cs="Times New Roman" w:eastAsia="Times New Roman" w:hAnsi="Times New Roman"/>
          <w:sz w:val="16"/>
          <w:szCs w:val="16"/>
          <w:color w:val="231F20"/>
        </w:rPr>
        <w:t>If securities are registered pursuant to Section 12(b) of the Act, indicate by check mark whether the financial statements of the registrant included in the filing reflect the correction of an error to previously issued financial statements.</w:t>
      </w:r>
      <w:r>
        <w:rPr>
          <w:rFonts w:ascii="Segoe UI Symbol" w:cs="Segoe UI Symbol" w:eastAsia="Segoe UI Symbol" w:hAnsi="Segoe UI Symbol"/>
          <w:sz w:val="16"/>
          <w:szCs w:val="16"/>
          <w:color w:val="231F20"/>
        </w:rPr>
        <w:t>☐</w:t>
      </w:r>
    </w:p>
    <w:p>
      <w:pPr>
        <w:ind w:right="200" w:firstLine="490"/>
        <w:spacing w:after="0" w:line="264" w:lineRule="auto"/>
        <w:rPr>
          <w:sz w:val="20"/>
          <w:szCs w:val="20"/>
          <w:color w:val="auto"/>
        </w:rPr>
      </w:pPr>
      <w:r>
        <w:rPr>
          <w:rFonts w:ascii="Times New Roman" w:cs="Times New Roman" w:eastAsia="Times New Roman" w:hAnsi="Times New Roman"/>
          <w:sz w:val="16"/>
          <w:szCs w:val="16"/>
          <w:color w:val="231F20"/>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Segoe UI Symbol" w:cs="Segoe UI Symbol" w:eastAsia="Segoe UI Symbol" w:hAnsi="Segoe UI Symbol"/>
          <w:sz w:val="16"/>
          <w:szCs w:val="16"/>
          <w:color w:val="231F20"/>
        </w:rPr>
        <w:t>☐</w:t>
      </w:r>
    </w:p>
    <w:p>
      <w:pPr>
        <w:ind w:left="500"/>
        <w:spacing w:after="0"/>
        <w:rPr>
          <w:sz w:val="20"/>
          <w:szCs w:val="20"/>
          <w:color w:val="auto"/>
        </w:rPr>
      </w:pPr>
      <w:r>
        <w:rPr>
          <w:rFonts w:ascii="Times New Roman" w:cs="Times New Roman" w:eastAsia="Times New Roman" w:hAnsi="Times New Roman"/>
          <w:sz w:val="16"/>
          <w:szCs w:val="16"/>
          <w:color w:val="231F20"/>
        </w:rPr>
        <w:t>Indicate by check mark whether the registrant is a shell company (as defined in Rule 12b-2 of the Exchange Act). Yes</w:t>
      </w:r>
      <w:r>
        <w:rPr>
          <w:rFonts w:ascii="Segoe UI Symbol" w:cs="Segoe UI Symbol" w:eastAsia="Segoe UI Symbol" w:hAnsi="Segoe UI Symbol"/>
          <w:sz w:val="16"/>
          <w:szCs w:val="16"/>
          <w:color w:val="231F20"/>
        </w:rPr>
        <w:t>☐</w:t>
      </w:r>
      <w:r>
        <w:rPr>
          <w:rFonts w:ascii="Times New Roman" w:cs="Times New Roman" w:eastAsia="Times New Roman" w:hAnsi="Times New Roman"/>
          <w:sz w:val="16"/>
          <w:szCs w:val="16"/>
          <w:color w:val="231F20"/>
        </w:rPr>
        <w:t xml:space="preserve"> No</w:t>
      </w:r>
      <w:r>
        <w:rPr>
          <w:rFonts w:ascii="Segoe UI Symbol" w:cs="Segoe UI Symbol" w:eastAsia="Segoe UI Symbol" w:hAnsi="Segoe UI Symbol"/>
          <w:sz w:val="16"/>
          <w:szCs w:val="16"/>
          <w:color w:val="231F20"/>
        </w:rPr>
        <w:t>☒</w:t>
      </w:r>
    </w:p>
    <w:p>
      <w:pPr>
        <w:spacing w:after="0" w:line="40" w:lineRule="exact"/>
        <w:rPr>
          <w:sz w:val="20"/>
          <w:szCs w:val="20"/>
          <w:color w:val="auto"/>
        </w:rPr>
      </w:pPr>
    </w:p>
    <w:p>
      <w:pPr>
        <w:ind w:right="120" w:firstLine="490"/>
        <w:spacing w:after="0" w:line="262" w:lineRule="auto"/>
        <w:rPr>
          <w:sz w:val="20"/>
          <w:szCs w:val="20"/>
          <w:color w:val="auto"/>
        </w:rPr>
      </w:pPr>
      <w:r>
        <w:rPr>
          <w:rFonts w:ascii="Times New Roman" w:cs="Times New Roman" w:eastAsia="Times New Roman" w:hAnsi="Times New Roman"/>
          <w:sz w:val="16"/>
          <w:szCs w:val="16"/>
          <w:color w:val="231F20"/>
        </w:rPr>
        <w:t>The aggregate market value of the voting stock held by non-affiliates of the registrant as of June 30, 2024 (based on the closing price on such stock as reported by NYSE American on such date) was $24,874,000.</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31F20"/>
        </w:rPr>
        <w:t>The number of shares of the registrant’s Common Stock, par value $.01 per share, outstanding as of March 1, 2026 was 11,858,401.</w:t>
      </w:r>
    </w:p>
    <w:p>
      <w:pPr>
        <w:spacing w:after="0" w:line="4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231F20"/>
        </w:rPr>
        <w:t>Auditor Firm ID: 1195 Auditor Name: UHY LLP Auditor Location: Farmington Hills, Michigan</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ectPr>
          <w:pgSz w:w="11880" w:h="15480" w:orient="portrait"/>
          <w:cols w:equalWidth="0" w:num="1">
            <w:col w:w="10780"/>
          </w:cols>
          <w:pgMar w:left="540" w:top="897" w:right="560" w:bottom="517" w:gutter="0" w:footer="0" w:header="0"/>
        </w:sectPr>
      </w:pPr>
    </w:p>
    <w:p>
      <w:pPr>
        <w:spacing w:after="0" w:line="45"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16"/>
          <w:szCs w:val="16"/>
          <w:color w:val="231F20"/>
        </w:rPr>
        <w:t>Portions of the registrant’s Proxy Statement, prepared for the Annual Meeting of Shareholders scheduled for May 13, 2026 to be filed with the Commission,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19685</wp:posOffset>
                </wp:positionV>
                <wp:extent cx="6858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pt" to="540pt,1.5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56515</wp:posOffset>
                </wp:positionV>
                <wp:extent cx="68580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5pt" to="540pt,4.45pt" o:allowincell="f" strokecolor="#231F20" strokeweight="1pt"/>
            </w:pict>
          </mc:Fallback>
        </mc:AlternateContent>
      </w:r>
    </w:p>
    <w:p>
      <w:pPr>
        <w:sectPr>
          <w:pgSz w:w="11880" w:h="15480" w:orient="portrait"/>
          <w:cols w:equalWidth="0" w:num="1">
            <w:col w:w="10780"/>
          </w:cols>
          <w:pgMar w:left="540" w:top="897" w:right="560" w:bottom="517" w:gutter="0" w:footer="0" w:header="0"/>
          <w:type w:val="continuous"/>
        </w:sectPr>
      </w:pPr>
    </w:p>
    <w:bookmarkStart w:id="11" w:name="page12"/>
    <w:bookmarkEnd w:id="11"/>
    <w:p>
      <w:pPr>
        <w:ind w:left="4180"/>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231F20"/>
        </w:rPr>
        <w:t>2024 FORM 10-K</w:t>
      </w:r>
    </w:p>
    <w:p>
      <w:pPr>
        <w:spacing w:after="0" w:line="2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8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6"/>
          <w:szCs w:val="16"/>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6503035</wp:posOffset>
                </wp:positionH>
                <wp:positionV relativeFrom="paragraph">
                  <wp:posOffset>15240</wp:posOffset>
                </wp:positionV>
                <wp:extent cx="3549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496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05pt,1.2pt" to="540pt,1.2pt" o:allowincell="f" strokecolor="#231F20" strokeweight="0.5pt"/>
            </w:pict>
          </mc:Fallback>
        </mc:AlternateContent>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1" w:lineRule="exact"/>
        <w:rPr>
          <w:sz w:val="20"/>
          <w:szCs w:val="20"/>
          <w:color w:val="auto"/>
        </w:rPr>
      </w:pPr>
    </w:p>
    <w:p>
      <w:pPr>
        <w:spacing w:after="0"/>
        <w:tabs>
          <w:tab w:leader="none" w:pos="1040" w:val="left"/>
          <w:tab w:leader="dot" w:pos="1068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535355"/>
        </w:rPr>
        <w:t>BUSINESS</w:t>
      </w:r>
      <w:r>
        <w:rPr>
          <w:sz w:val="20"/>
          <w:szCs w:val="20"/>
          <w:color w:val="auto"/>
        </w:rPr>
        <w:tab/>
      </w:r>
      <w:r>
        <w:rPr>
          <w:rFonts w:ascii="Times New Roman" w:cs="Times New Roman" w:eastAsia="Times New Roman" w:hAnsi="Times New Roman"/>
          <w:sz w:val="20"/>
          <w:szCs w:val="20"/>
          <w:color w:val="231F20"/>
        </w:rPr>
        <w:t>2</w:t>
      </w:r>
    </w:p>
    <w:p>
      <w:pPr>
        <w:spacing w:after="0"/>
        <w:tabs>
          <w:tab w:leader="none" w:pos="1040" w:val="left"/>
          <w:tab w:leader="dot" w:pos="10680" w:val="left"/>
        </w:tabs>
        <w:rPr>
          <w:sz w:val="20"/>
          <w:szCs w:val="20"/>
          <w:color w:val="auto"/>
        </w:rPr>
      </w:pPr>
      <w:r>
        <w:rPr>
          <w:rFonts w:ascii="Times New Roman" w:cs="Times New Roman" w:eastAsia="Times New Roman" w:hAnsi="Times New Roman"/>
          <w:sz w:val="20"/>
          <w:szCs w:val="20"/>
          <w:color w:val="231F20"/>
        </w:rPr>
        <w:t>ITEM 1A.</w:t>
      </w:r>
      <w:r>
        <w:rPr>
          <w:rFonts w:ascii="Times New Roman" w:cs="Times New Roman" w:eastAsia="Times New Roman" w:hAnsi="Times New Roman"/>
          <w:sz w:val="20"/>
          <w:szCs w:val="20"/>
          <w:color w:val="535355"/>
        </w:rPr>
        <w:tab/>
        <w:t>RISK FACTORS</w:t>
      </w:r>
      <w:r>
        <w:rPr>
          <w:sz w:val="20"/>
          <w:szCs w:val="20"/>
          <w:color w:val="auto"/>
        </w:rPr>
        <w:tab/>
      </w:r>
      <w:r>
        <w:rPr>
          <w:rFonts w:ascii="Times New Roman" w:cs="Times New Roman" w:eastAsia="Times New Roman" w:hAnsi="Times New Roman"/>
          <w:sz w:val="20"/>
          <w:szCs w:val="20"/>
          <w:color w:val="231F20"/>
        </w:rPr>
        <w:t>9</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1B.</w:t>
      </w:r>
      <w:r>
        <w:rPr>
          <w:sz w:val="20"/>
          <w:szCs w:val="20"/>
          <w:color w:val="auto"/>
        </w:rPr>
        <w:tab/>
      </w:r>
      <w:r>
        <w:rPr>
          <w:rFonts w:ascii="Times New Roman" w:cs="Times New Roman" w:eastAsia="Times New Roman" w:hAnsi="Times New Roman"/>
          <w:sz w:val="20"/>
          <w:szCs w:val="20"/>
          <w:u w:val="single" w:color="auto"/>
          <w:color w:val="535355"/>
        </w:rPr>
        <w:t>UNRESOLVED STAFF COMMENTS</w:t>
      </w:r>
      <w:r>
        <w:rPr>
          <w:sz w:val="20"/>
          <w:szCs w:val="20"/>
          <w:color w:val="auto"/>
        </w:rPr>
        <w:tab/>
      </w:r>
      <w:r>
        <w:rPr>
          <w:rFonts w:ascii="Times New Roman" w:cs="Times New Roman" w:eastAsia="Times New Roman" w:hAnsi="Times New Roman"/>
          <w:sz w:val="20"/>
          <w:szCs w:val="20"/>
          <w:color w:val="231F20"/>
        </w:rPr>
        <w:t>21</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1C.</w:t>
      </w:r>
      <w:r>
        <w:rPr>
          <w:sz w:val="20"/>
          <w:szCs w:val="20"/>
          <w:color w:val="auto"/>
        </w:rPr>
        <w:tab/>
      </w:r>
      <w:r>
        <w:rPr>
          <w:rFonts w:ascii="Times New Roman" w:cs="Times New Roman" w:eastAsia="Times New Roman" w:hAnsi="Times New Roman"/>
          <w:sz w:val="20"/>
          <w:szCs w:val="20"/>
          <w:u w:val="single" w:color="auto"/>
          <w:color w:val="535355"/>
        </w:rPr>
        <w:t>CYBERSECURITY</w:t>
      </w:r>
      <w:r>
        <w:rPr>
          <w:sz w:val="20"/>
          <w:szCs w:val="20"/>
          <w:color w:val="auto"/>
        </w:rPr>
        <w:tab/>
      </w:r>
      <w:r>
        <w:rPr>
          <w:rFonts w:ascii="Times New Roman" w:cs="Times New Roman" w:eastAsia="Times New Roman" w:hAnsi="Times New Roman"/>
          <w:sz w:val="20"/>
          <w:szCs w:val="20"/>
          <w:color w:val="231F20"/>
        </w:rPr>
        <w:t>21</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u w:val="single" w:color="auto"/>
          <w:color w:val="535355"/>
        </w:rPr>
        <w:t>PROPERTIES</w:t>
      </w:r>
      <w:r>
        <w:rPr>
          <w:sz w:val="20"/>
          <w:szCs w:val="20"/>
          <w:color w:val="auto"/>
        </w:rPr>
        <w:tab/>
      </w:r>
      <w:r>
        <w:rPr>
          <w:rFonts w:ascii="Times New Roman" w:cs="Times New Roman" w:eastAsia="Times New Roman" w:hAnsi="Times New Roman"/>
          <w:sz w:val="20"/>
          <w:szCs w:val="20"/>
          <w:color w:val="231F20"/>
        </w:rPr>
        <w:t>23</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u w:val="single" w:color="auto"/>
          <w:color w:val="535355"/>
        </w:rPr>
        <w:t>LEGAL PROCEEDINGS</w:t>
      </w:r>
      <w:r>
        <w:rPr>
          <w:sz w:val="20"/>
          <w:szCs w:val="20"/>
          <w:color w:val="auto"/>
        </w:rPr>
        <w:tab/>
      </w:r>
      <w:r>
        <w:rPr>
          <w:rFonts w:ascii="Times New Roman" w:cs="Times New Roman" w:eastAsia="Times New Roman" w:hAnsi="Times New Roman"/>
          <w:sz w:val="20"/>
          <w:szCs w:val="20"/>
          <w:color w:val="231F20"/>
        </w:rPr>
        <w:t>23</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u w:val="single" w:color="auto"/>
          <w:color w:val="535355"/>
        </w:rPr>
        <w:t>MINE SAFETY DISCLOSURES</w:t>
      </w:r>
      <w:r>
        <w:rPr>
          <w:sz w:val="20"/>
          <w:szCs w:val="20"/>
          <w:color w:val="auto"/>
        </w:rPr>
        <w:tab/>
      </w:r>
      <w:r>
        <w:rPr>
          <w:rFonts w:ascii="Times New Roman" w:cs="Times New Roman" w:eastAsia="Times New Roman" w:hAnsi="Times New Roman"/>
          <w:sz w:val="20"/>
          <w:szCs w:val="20"/>
          <w:color w:val="231F20"/>
        </w:rPr>
        <w:t>23</w:t>
      </w:r>
    </w:p>
    <w:p>
      <w:pPr>
        <w:spacing w:after="0" w:line="1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535355"/>
        </w:rPr>
        <w:t>MARKET FOR THE REGISTRANT’S COMMON EQUITY, RELATED STOCKHOLDER MATTERS AND</w:t>
      </w:r>
    </w:p>
    <w:p>
      <w:pPr>
        <w:spacing w:after="0"/>
        <w:tabs>
          <w:tab w:leader="none" w:pos="1280" w:val="left"/>
          <w:tab w:leader="dot" w:pos="1058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20"/>
          <w:szCs w:val="20"/>
          <w:color w:val="535355"/>
        </w:rPr>
        <w:t>ISSUER PURCHASES OF EQUITY SECURITIES</w:t>
      </w:r>
      <w:r>
        <w:rPr>
          <w:sz w:val="20"/>
          <w:szCs w:val="20"/>
          <w:color w:val="auto"/>
        </w:rPr>
        <w:tab/>
      </w:r>
      <w:r>
        <w:rPr>
          <w:rFonts w:ascii="Times New Roman" w:cs="Times New Roman" w:eastAsia="Times New Roman" w:hAnsi="Times New Roman"/>
          <w:sz w:val="20"/>
          <w:szCs w:val="20"/>
          <w:color w:val="231F20"/>
        </w:rPr>
        <w:t>24</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u w:val="single" w:color="auto"/>
          <w:color w:val="535355"/>
        </w:rPr>
        <w:t>RESERVED</w:t>
      </w:r>
      <w:r>
        <w:rPr>
          <w:sz w:val="20"/>
          <w:szCs w:val="20"/>
          <w:color w:val="auto"/>
        </w:rPr>
        <w:tab/>
      </w:r>
      <w:r>
        <w:rPr>
          <w:rFonts w:ascii="Times New Roman" w:cs="Times New Roman" w:eastAsia="Times New Roman" w:hAnsi="Times New Roman"/>
          <w:sz w:val="20"/>
          <w:szCs w:val="20"/>
          <w:color w:val="231F20"/>
        </w:rPr>
        <w:t>26</w:t>
      </w:r>
    </w:p>
    <w:p>
      <w:pPr>
        <w:ind w:left="1060"/>
        <w:spacing w:after="0"/>
        <w:rPr>
          <w:sz w:val="20"/>
          <w:szCs w:val="20"/>
          <w:color w:val="auto"/>
        </w:rPr>
      </w:pPr>
      <w:r>
        <w:rPr>
          <w:rFonts w:ascii="Times New Roman" w:cs="Times New Roman" w:eastAsia="Times New Roman" w:hAnsi="Times New Roman"/>
          <w:sz w:val="20"/>
          <w:szCs w:val="20"/>
          <w:u w:val="single" w:color="auto"/>
          <w:color w:val="535355"/>
        </w:rPr>
        <w:t>MANAGEMENT’S DISCUSSION AND ANALYSIS OF FINANCIAL CONDITION AND RESULTS OF</w:t>
      </w:r>
    </w:p>
    <w:p>
      <w:pPr>
        <w:spacing w:after="0"/>
        <w:tabs>
          <w:tab w:leader="none" w:pos="1280" w:val="left"/>
          <w:tab w:leader="dot" w:pos="1058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u w:val="single" w:color="auto"/>
          <w:color w:val="535355"/>
        </w:rPr>
        <w:t>OPERATIONS</w:t>
      </w:r>
      <w:r>
        <w:rPr>
          <w:sz w:val="20"/>
          <w:szCs w:val="20"/>
          <w:color w:val="auto"/>
        </w:rPr>
        <w:tab/>
      </w:r>
      <w:r>
        <w:rPr>
          <w:rFonts w:ascii="Times New Roman" w:cs="Times New Roman" w:eastAsia="Times New Roman" w:hAnsi="Times New Roman"/>
          <w:sz w:val="20"/>
          <w:szCs w:val="20"/>
          <w:color w:val="231F20"/>
        </w:rPr>
        <w:t>26</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7A.</w:t>
      </w:r>
      <w:r>
        <w:rPr>
          <w:sz w:val="20"/>
          <w:szCs w:val="20"/>
          <w:color w:val="auto"/>
        </w:rPr>
        <w:tab/>
      </w:r>
      <w:r>
        <w:rPr>
          <w:rFonts w:ascii="Times New Roman" w:cs="Times New Roman" w:eastAsia="Times New Roman" w:hAnsi="Times New Roman"/>
          <w:sz w:val="20"/>
          <w:szCs w:val="20"/>
          <w:u w:val="single" w:color="auto"/>
          <w:color w:val="535355"/>
        </w:rPr>
        <w:t>QUANTITATIVE AND QUALITATIVE DISCLOSURES ABOUT MARKET RISK</w:t>
      </w:r>
      <w:r>
        <w:rPr>
          <w:sz w:val="20"/>
          <w:szCs w:val="20"/>
          <w:color w:val="auto"/>
        </w:rPr>
        <w:tab/>
      </w:r>
      <w:r>
        <w:rPr>
          <w:rFonts w:ascii="Times New Roman" w:cs="Times New Roman" w:eastAsia="Times New Roman" w:hAnsi="Times New Roman"/>
          <w:sz w:val="20"/>
          <w:szCs w:val="20"/>
          <w:color w:val="231F20"/>
        </w:rPr>
        <w:t>37</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u w:val="single" w:color="auto"/>
          <w:color w:val="535355"/>
        </w:rPr>
        <w:t>FINANCIAL STATEMENTS AND SUPPLEMENTARY DATA</w:t>
      </w:r>
      <w:r>
        <w:rPr>
          <w:sz w:val="20"/>
          <w:szCs w:val="20"/>
          <w:color w:val="auto"/>
        </w:rPr>
        <w:tab/>
      </w:r>
      <w:r>
        <w:rPr>
          <w:rFonts w:ascii="Times New Roman" w:cs="Times New Roman" w:eastAsia="Times New Roman" w:hAnsi="Times New Roman"/>
          <w:sz w:val="20"/>
          <w:szCs w:val="20"/>
          <w:color w:val="231F20"/>
        </w:rPr>
        <w:t>37</w:t>
      </w:r>
    </w:p>
    <w:p>
      <w:pPr>
        <w:ind w:left="1060"/>
        <w:spacing w:after="0"/>
        <w:rPr>
          <w:sz w:val="20"/>
          <w:szCs w:val="20"/>
          <w:color w:val="auto"/>
        </w:rPr>
      </w:pPr>
      <w:r>
        <w:rPr>
          <w:rFonts w:ascii="Times New Roman" w:cs="Times New Roman" w:eastAsia="Times New Roman" w:hAnsi="Times New Roman"/>
          <w:sz w:val="20"/>
          <w:szCs w:val="20"/>
          <w:u w:val="single" w:color="auto"/>
          <w:color w:val="535355"/>
        </w:rPr>
        <w:t>CHANGES IN AND DISAGREEMENTS WITH ACCOUNTANTS ON ACCOUNTING AND FINANCIAL</w:t>
      </w:r>
    </w:p>
    <w:p>
      <w:pPr>
        <w:spacing w:after="0"/>
        <w:tabs>
          <w:tab w:leader="none" w:pos="1280" w:val="left"/>
          <w:tab w:leader="dot" w:pos="1058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u w:val="single" w:color="auto"/>
          <w:color w:val="535355"/>
        </w:rPr>
        <w:t>DISCLOSURE</w:t>
      </w:r>
      <w:r>
        <w:rPr>
          <w:sz w:val="20"/>
          <w:szCs w:val="20"/>
          <w:color w:val="auto"/>
        </w:rPr>
        <w:tab/>
      </w:r>
      <w:r>
        <w:rPr>
          <w:rFonts w:ascii="Times New Roman" w:cs="Times New Roman" w:eastAsia="Times New Roman" w:hAnsi="Times New Roman"/>
          <w:sz w:val="20"/>
          <w:szCs w:val="20"/>
          <w:color w:val="231F20"/>
        </w:rPr>
        <w:t>68</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9A.</w:t>
      </w:r>
      <w:r>
        <w:rPr>
          <w:sz w:val="20"/>
          <w:szCs w:val="20"/>
          <w:color w:val="auto"/>
        </w:rPr>
        <w:tab/>
      </w:r>
      <w:r>
        <w:rPr>
          <w:rFonts w:ascii="Times New Roman" w:cs="Times New Roman" w:eastAsia="Times New Roman" w:hAnsi="Times New Roman"/>
          <w:sz w:val="20"/>
          <w:szCs w:val="20"/>
          <w:u w:val="single" w:color="auto"/>
          <w:color w:val="535355"/>
        </w:rPr>
        <w:t>CONTROLS AND PROCEDURES</w:t>
      </w:r>
      <w:r>
        <w:rPr>
          <w:sz w:val="20"/>
          <w:szCs w:val="20"/>
          <w:color w:val="auto"/>
        </w:rPr>
        <w:tab/>
      </w:r>
      <w:r>
        <w:rPr>
          <w:rFonts w:ascii="Times New Roman" w:cs="Times New Roman" w:eastAsia="Times New Roman" w:hAnsi="Times New Roman"/>
          <w:sz w:val="20"/>
          <w:szCs w:val="20"/>
          <w:color w:val="231F20"/>
        </w:rPr>
        <w:t>68</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9B.</w:t>
      </w:r>
      <w:r>
        <w:rPr>
          <w:sz w:val="20"/>
          <w:szCs w:val="20"/>
          <w:color w:val="auto"/>
        </w:rPr>
        <w:tab/>
      </w:r>
      <w:r>
        <w:rPr>
          <w:rFonts w:ascii="Times New Roman" w:cs="Times New Roman" w:eastAsia="Times New Roman" w:hAnsi="Times New Roman"/>
          <w:sz w:val="20"/>
          <w:szCs w:val="20"/>
          <w:u w:val="single" w:color="auto"/>
          <w:color w:val="535355"/>
        </w:rPr>
        <w:t>OTHER INFORMATION</w:t>
      </w:r>
      <w:r>
        <w:rPr>
          <w:sz w:val="20"/>
          <w:szCs w:val="20"/>
          <w:color w:val="auto"/>
        </w:rPr>
        <w:tab/>
      </w:r>
      <w:r>
        <w:rPr>
          <w:rFonts w:ascii="Times New Roman" w:cs="Times New Roman" w:eastAsia="Times New Roman" w:hAnsi="Times New Roman"/>
          <w:sz w:val="20"/>
          <w:szCs w:val="20"/>
          <w:color w:val="231F20"/>
        </w:rPr>
        <w:t>69</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9C.</w:t>
      </w:r>
      <w:r>
        <w:rPr>
          <w:sz w:val="20"/>
          <w:szCs w:val="20"/>
          <w:color w:val="auto"/>
        </w:rPr>
        <w:tab/>
      </w:r>
      <w:r>
        <w:rPr>
          <w:rFonts w:ascii="Times New Roman" w:cs="Times New Roman" w:eastAsia="Times New Roman" w:hAnsi="Times New Roman"/>
          <w:sz w:val="20"/>
          <w:szCs w:val="20"/>
          <w:u w:val="single" w:color="auto"/>
          <w:color w:val="535355"/>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69</w:t>
      </w:r>
    </w:p>
    <w:p>
      <w:pPr>
        <w:spacing w:after="0" w:line="1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32" w:lineRule="exact"/>
        <w:rPr>
          <w:sz w:val="20"/>
          <w:szCs w:val="20"/>
          <w:color w:val="auto"/>
        </w:rPr>
      </w:pP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10.</w:t>
      </w:r>
      <w:r>
        <w:rPr>
          <w:rFonts w:ascii="Times New Roman" w:cs="Times New Roman" w:eastAsia="Times New Roman" w:hAnsi="Times New Roman"/>
          <w:sz w:val="20"/>
          <w:szCs w:val="20"/>
          <w:color w:val="535355"/>
        </w:rPr>
        <w:tab/>
        <w:t>DIRECTORS, EXECUTIVE OFFICERS AND CORPORATE GOVERNANCE</w:t>
      </w:r>
      <w:r>
        <w:rPr>
          <w:sz w:val="20"/>
          <w:szCs w:val="20"/>
          <w:color w:val="auto"/>
        </w:rPr>
        <w:tab/>
      </w:r>
      <w:r>
        <w:rPr>
          <w:rFonts w:ascii="Times New Roman" w:cs="Times New Roman" w:eastAsia="Times New Roman" w:hAnsi="Times New Roman"/>
          <w:sz w:val="20"/>
          <w:szCs w:val="20"/>
          <w:color w:val="231F20"/>
        </w:rPr>
        <w:t>70</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u w:val="single" w:color="auto"/>
          <w:color w:val="535355"/>
        </w:rPr>
        <w:t>EXECUTIVE COMPENSATION</w:t>
      </w:r>
      <w:r>
        <w:rPr>
          <w:sz w:val="20"/>
          <w:szCs w:val="20"/>
          <w:color w:val="auto"/>
        </w:rPr>
        <w:tab/>
      </w:r>
      <w:r>
        <w:rPr>
          <w:rFonts w:ascii="Times New Roman" w:cs="Times New Roman" w:eastAsia="Times New Roman" w:hAnsi="Times New Roman"/>
          <w:sz w:val="20"/>
          <w:szCs w:val="20"/>
          <w:color w:val="231F20"/>
        </w:rPr>
        <w:t>70</w:t>
      </w:r>
    </w:p>
    <w:p>
      <w:pPr>
        <w:ind w:left="1060"/>
        <w:spacing w:after="0"/>
        <w:rPr>
          <w:sz w:val="20"/>
          <w:szCs w:val="20"/>
          <w:color w:val="auto"/>
        </w:rPr>
      </w:pPr>
      <w:r>
        <w:rPr>
          <w:rFonts w:ascii="Times New Roman" w:cs="Times New Roman" w:eastAsia="Times New Roman" w:hAnsi="Times New Roman"/>
          <w:sz w:val="20"/>
          <w:szCs w:val="20"/>
          <w:u w:val="single" w:color="auto"/>
          <w:color w:val="535355"/>
        </w:rPr>
        <w:t>SECURITY OWNERSHIP OF CERTAIN BENEFICIAL OWNERS AND MANAGEMENT AND RELATED</w:t>
      </w:r>
    </w:p>
    <w:p>
      <w:pPr>
        <w:spacing w:after="0"/>
        <w:tabs>
          <w:tab w:leader="none" w:pos="1280" w:val="left"/>
          <w:tab w:leader="dot" w:pos="1058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20"/>
          <w:szCs w:val="20"/>
          <w:u w:val="single" w:color="auto"/>
          <w:color w:val="535355"/>
        </w:rPr>
        <w:t>SHAREHOLDER MATTERS</w:t>
      </w:r>
      <w:r>
        <w:rPr>
          <w:sz w:val="20"/>
          <w:szCs w:val="20"/>
          <w:color w:val="auto"/>
        </w:rPr>
        <w:tab/>
      </w:r>
      <w:r>
        <w:rPr>
          <w:rFonts w:ascii="Times New Roman" w:cs="Times New Roman" w:eastAsia="Times New Roman" w:hAnsi="Times New Roman"/>
          <w:sz w:val="20"/>
          <w:szCs w:val="20"/>
          <w:color w:val="231F20"/>
        </w:rPr>
        <w:t>70</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u w:val="single" w:color="auto"/>
          <w:color w:val="535355"/>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70</w:t>
      </w: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u w:val="single" w:color="auto"/>
          <w:color w:val="535355"/>
        </w:rPr>
        <w:t>PRINCIPAL ACCOUNTANT FEES AND SERVICES</w:t>
      </w:r>
      <w:r>
        <w:rPr>
          <w:sz w:val="20"/>
          <w:szCs w:val="20"/>
          <w:color w:val="auto"/>
        </w:rPr>
        <w:tab/>
      </w:r>
      <w:r>
        <w:rPr>
          <w:rFonts w:ascii="Times New Roman" w:cs="Times New Roman" w:eastAsia="Times New Roman" w:hAnsi="Times New Roman"/>
          <w:sz w:val="20"/>
          <w:szCs w:val="20"/>
          <w:color w:val="231F20"/>
        </w:rPr>
        <w:t>70</w:t>
      </w:r>
    </w:p>
    <w:p>
      <w:pPr>
        <w:spacing w:after="0" w:line="1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32" w:lineRule="exact"/>
        <w:rPr>
          <w:sz w:val="20"/>
          <w:szCs w:val="20"/>
          <w:color w:val="auto"/>
        </w:rPr>
      </w:pPr>
    </w:p>
    <w:p>
      <w:pPr>
        <w:spacing w:after="0"/>
        <w:tabs>
          <w:tab w:leader="none" w:pos="1040" w:val="left"/>
          <w:tab w:leader="dot" w:pos="10580" w:val="left"/>
        </w:tabs>
        <w:rPr>
          <w:sz w:val="20"/>
          <w:szCs w:val="20"/>
          <w:color w:val="auto"/>
        </w:rPr>
      </w:pPr>
      <w:r>
        <w:rPr>
          <w:rFonts w:ascii="Times New Roman" w:cs="Times New Roman" w:eastAsia="Times New Roman" w:hAnsi="Times New Roman"/>
          <w:sz w:val="20"/>
          <w:szCs w:val="20"/>
          <w:color w:val="231F20"/>
        </w:rPr>
        <w:t>ITEM 15.</w:t>
      </w:r>
      <w:r>
        <w:rPr>
          <w:rFonts w:ascii="Times New Roman" w:cs="Times New Roman" w:eastAsia="Times New Roman" w:hAnsi="Times New Roman"/>
          <w:sz w:val="20"/>
          <w:szCs w:val="20"/>
          <w:color w:val="535355"/>
        </w:rPr>
        <w:tab/>
        <w:t>EXHIBITS AND FINANCIAL STATEMENT SCHEDULES</w:t>
      </w:r>
      <w:r>
        <w:rPr>
          <w:sz w:val="20"/>
          <w:szCs w:val="20"/>
          <w:color w:val="auto"/>
        </w:rPr>
        <w:tab/>
      </w:r>
      <w:r>
        <w:rPr>
          <w:rFonts w:ascii="Times New Roman" w:cs="Times New Roman" w:eastAsia="Times New Roman" w:hAnsi="Times New Roman"/>
          <w:sz w:val="20"/>
          <w:szCs w:val="20"/>
          <w:color w:val="231F20"/>
        </w:rPr>
        <w:t>71</w:t>
      </w:r>
    </w:p>
    <w:p>
      <w:pPr>
        <w:spacing w:after="0" w:line="11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color w:val="535355"/>
        </w:rPr>
        <w:t>SIGNATURES</w:t>
      </w:r>
      <w:r>
        <w:rPr>
          <w:sz w:val="20"/>
          <w:szCs w:val="20"/>
          <w:color w:val="auto"/>
        </w:rPr>
        <w:tab/>
      </w:r>
      <w:r>
        <w:rPr>
          <w:rFonts w:ascii="Times New Roman" w:cs="Times New Roman" w:eastAsia="Times New Roman" w:hAnsi="Times New Roman"/>
          <w:sz w:val="20"/>
          <w:szCs w:val="20"/>
          <w:color w:val="231F20"/>
        </w:rPr>
        <w:t>76</w:t>
      </w:r>
    </w:p>
    <w:p>
      <w:pPr>
        <w:sectPr>
          <w:pgSz w:w="11880" w:h="15480" w:orient="portrait"/>
          <w:cols w:equalWidth="0" w:num="1">
            <w:col w:w="10800"/>
          </w:cols>
          <w:pgMar w:left="540" w:top="746" w:right="5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This Annual Report on Form 10-K contains statements that are not historical facts and that constitute “forward looking statements” within the meaning of such terms under the Private Securities Litigation Reform Act of 1995. These statements are not guarantees of future performance and involve certain risks, uncertainties and assumptions that are difficult to predict. Actual outcomes and results may differ materially from those expressed in, or implied by, our forward-looking statements. Words such as “expects”, “intends”, “anticipates”, “believes”, “estimates”, “assumes”, “projects” and similar expressions are intended to identify such forward-looking statements. You should not rely solely on the forward- looking statements and should consider all uncertainties and risks throughout this Annual Report on Form 10-K, including those described under “Risk Factors”. These statements are based on information currently available, and we undertake no obligation to update any forward-looking statement as circumstances change.</w:t>
      </w:r>
    </w:p>
    <w:p>
      <w:pPr>
        <w:spacing w:after="0" w:line="202"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Factors or events that could cause results or performance to differ materially from those expressed in our forward-looking statements include the following:</w:t>
      </w:r>
    </w:p>
    <w:p>
      <w:pPr>
        <w:spacing w:after="0" w:line="64" w:lineRule="exact"/>
        <w:rPr>
          <w:sz w:val="20"/>
          <w:szCs w:val="20"/>
          <w:color w:val="auto"/>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general U.S. and global economic conditions and economic conditions in the industries in which we operate;</w:t>
      </w:r>
    </w:p>
    <w:p>
      <w:pPr>
        <w:spacing w:after="0" w:line="133" w:lineRule="exact"/>
        <w:rPr>
          <w:rFonts w:ascii="Arial" w:cs="Arial" w:eastAsia="Arial" w:hAnsi="Arial"/>
          <w:sz w:val="20"/>
          <w:szCs w:val="20"/>
          <w:color w:val="231F20"/>
        </w:rPr>
      </w:pPr>
    </w:p>
    <w:p>
      <w:pPr>
        <w:ind w:left="840" w:right="760" w:hanging="350"/>
        <w:spacing w:after="0" w:line="276" w:lineRule="auto"/>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social, political, and economic instability, unrest, significant changes, and other circumstances beyond our control, including circumstances related to changes in the U.S. political landscape;</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retain existing clients and obtain new clients;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competitive conditions;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introduce new service offerings;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availability of and retention of skilled technical employees and key personnel;</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technological changes;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adopt and use artificial intelligence and machine learning technologies in our service offerings;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accounting standards, rules and interpretations;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terminability of many of our contracts without penalty to our clients;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immigration laws, patterns and other factors related to visa holders;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liabilities and unanticipated developments resulting from litigations, regulatory investigations and similar matters;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due to currency exchange rate variations;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other U.S. laws, rules and regulations, including the Internal Revenue Code;</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India’s geopolitical environment, laws, rules and regulations;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and success of new acquisitions;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management’s ability to identify and manage risks;</w:t>
      </w:r>
    </w:p>
    <w:p>
      <w:pPr>
        <w:spacing w:after="0" w:line="133" w:lineRule="exact"/>
        <w:rPr>
          <w:rFonts w:ascii="Arial" w:cs="Arial" w:eastAsia="Arial" w:hAnsi="Arial"/>
          <w:sz w:val="20"/>
          <w:szCs w:val="20"/>
          <w:color w:val="231F20"/>
        </w:rPr>
      </w:pPr>
    </w:p>
    <w:p>
      <w:pPr>
        <w:ind w:left="840" w:right="460" w:hanging="350"/>
        <w:spacing w:after="0" w:line="276" w:lineRule="auto"/>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outbreak of any highly infectious or contagious diseases or the occurrence of pandemics, health epidemics or other outbreaks that disrupt business and day-to-day activities;</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breach of our systems due to a cybersecurity attack;</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privacy and information security laws, regulations and policies;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seasonal weather conditions, climate change and severe weather;</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tariffs and other trade barriers;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escalation of conflicts in the Middle East and Ukraine and the occurrence or escalation of other global conflicts;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the transition of our finance and accounting functions from the U.S. to India.</w:t>
      </w:r>
    </w:p>
    <w:p>
      <w:pPr>
        <w:sectPr>
          <w:pgSz w:w="11880" w:h="15480" w:orient="portrait"/>
          <w:cols w:equalWidth="0" w:num="1">
            <w:col w:w="10780"/>
          </w:cols>
          <w:pgMar w:left="540" w:top="76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780"/>
          </w:cols>
          <w:pgMar w:left="540" w:top="769" w:right="56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231F20"/>
        </w:rPr>
        <w:t>Mastech Digital, Inc. (referred to in this report as “Mastech Digital”, “Mastech”, the “Company”, “us”, “our” or “we”) is a provider of Digital Transformation IT Services. The Company offers data and analytics solutions; digital learning; and IT staffing services for both digital and mainstream technologies. Headquartered near Pittsburgh, Pennsylvania, we have approximately 1,500 consultants that provide services across a broad spectrum of industry verticals. We do not sell, lease or otherwise market computer software or hardware and essentially 100% of our revenue is derived from the sale of data and analytics, IT staffing and Digital Transformation services through our two reportable segments, Data and Analytics Services and IT Staffing Services.</w:t>
      </w:r>
    </w:p>
    <w:p>
      <w:pPr>
        <w:spacing w:after="0" w:line="200"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Our Data and Analytics Services segment delivers specialized data management, data engineering, customer experience consulting, data analytics and cloud services to customers globally. Each of these services can be delivered using on-site and offshore resources.</w:t>
      </w:r>
    </w:p>
    <w:p>
      <w:pPr>
        <w:spacing w:after="0" w:line="188"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Our IT Staffing Services segment combines technical expertise with business process experience to deliver a broad range of services in digital and mainstream technologies. Our digital technology services include data management and analytics, cloud, mobility, social and automation. Our Digital Transformation services also include staffing and project -based services around digital learning. Our mainstream technologies services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 “project focused” temporary IT staffing requirements. Additionally, we provide offshore staffing services to our U.S.-based clients and local offshore clients, and recently added engineering staffing services to our portfolio of service offerings.</w:t>
      </w:r>
    </w:p>
    <w:p>
      <w:pPr>
        <w:spacing w:after="0" w:line="202" w:lineRule="exact"/>
        <w:rPr>
          <w:sz w:val="20"/>
          <w:szCs w:val="20"/>
          <w:color w:val="auto"/>
        </w:rPr>
      </w:pPr>
    </w:p>
    <w:p>
      <w:pPr>
        <w:jc w:val="both"/>
        <w:ind w:right="260" w:firstLine="490"/>
        <w:spacing w:after="0" w:line="252" w:lineRule="auto"/>
        <w:rPr>
          <w:sz w:val="20"/>
          <w:szCs w:val="20"/>
          <w:color w:val="auto"/>
        </w:rPr>
      </w:pPr>
      <w:r>
        <w:rPr>
          <w:rFonts w:ascii="Times New Roman" w:cs="Times New Roman" w:eastAsia="Times New Roman" w:hAnsi="Times New Roman"/>
          <w:sz w:val="20"/>
          <w:szCs w:val="20"/>
          <w:color w:val="231F20"/>
        </w:rPr>
        <w:t>Sales and marketing of our services are handled by separate and distinct sales organizations within each of our two business segments. Our data and analytics services are marketed through 1) client partners who largely focus on new business development; and 2) technical relationship managers (principals) who focus on growing strong relationships within existing clients. Both account executives and technical relationship managers reside in the U.S., Canada, India and the U.K.</w:t>
      </w:r>
    </w:p>
    <w:p>
      <w:pPr>
        <w:spacing w:after="0" w:line="19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IT staffing and Digital Transformation services are marketed through account executives across the U.S. who deploy a telesales model, supplemented with client visits. This cost-effective model is aimed at System Integrators and other staffing clients, with a need to supplement their abilities to attract highly qualified temporary IT personnel. Additionally, we use a branch service sales model in select geographies within the U.S. The branch services model employs local sales and recruitment resources, aimed at establishing strong relationships with both end-clients and candidates.</w:t>
      </w:r>
    </w:p>
    <w:p>
      <w:pPr>
        <w:spacing w:after="0" w:line="19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We recruit for both segments through global recruitment centers largely located in India that deliver a full range of recruiting and sourcing services. Our centers employ approximately 89 recruiters and sourcers that focus on recruiting U.S.-based candidates to service a geographically-diverse client base in the U.S. Our ability to respond to client requests from our offshore recruiting centers, with their expanded search coverage, round-the-clock sourcing, and extensive pool of candidates, gives us the ability to deliver high-quality candidates to our clients in a timely fashion.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History and Developments</w:t>
      </w:r>
    </w:p>
    <w:p>
      <w:pPr>
        <w:spacing w:after="0" w:line="24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Mastech Digital, Inc. (formerly Mastech Holdings, Inc.) was incorporated in Pennsylvania on June 6, 2008 as a wholly-owned subsidiary of iGATE Corporation (“iGATE”) in anticipation of a spin-off of iGATE’s professional services business. On September 30, 2008, the Company was separated from iGATE and began operating as an independent public company. Through its operating subsidiaries, the Company has over 37 years of experience providing IT staffing services.</w:t>
      </w:r>
    </w:p>
    <w:p>
      <w:pPr>
        <w:spacing w:after="0" w:line="19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Founded in 1986, the Company initially focused on recruiting global IT talent to support client demand in the United States and subsequently transitioned to a domestic recruiting model supported by an offshore recruitment center established in 2003.</w:t>
      </w:r>
    </w:p>
    <w:p>
      <w:pPr>
        <w:spacing w:after="0" w:line="169"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On June 15, 2015, the Company acquired Hudson Global Resources Management, Inc.’s U.S. IT staffing business (“Hudson IT”), which expanded the Company's domestic IT staffing operations and added a digital learning services practice.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In 2016, the Company changed its name to Mastech Digital, Inc. as part of a broader rebranding initiative.</w:t>
      </w:r>
    </w:p>
    <w:p>
      <w:pPr>
        <w:spacing w:after="0" w:line="24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In 2017, the Company expanded into data management and analytics consulting through the acquisition of the services division of InfoTrellis, Inc. (“InfoTrellis”). The Company further expanded these capabilities in 2018 and 2019.</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760"/>
          </w:cols>
          <w:pgMar w:left="540" w:top="746" w:right="580" w:bottom="0" w:gutter="0" w:footer="0" w:header="0"/>
          <w:type w:val="continuous"/>
        </w:sectPr>
      </w:pPr>
    </w:p>
    <w:bookmarkStart w:id="14" w:name="page15"/>
    <w:bookmarkEnd w:id="14"/>
    <w:p>
      <w:pPr>
        <w:ind w:right="520" w:firstLine="490"/>
        <w:spacing w:after="0" w:line="258" w:lineRule="auto"/>
        <w:rPr>
          <w:sz w:val="20"/>
          <w:szCs w:val="20"/>
          <w:color w:val="auto"/>
        </w:rPr>
      </w:pPr>
      <w:r>
        <w:rPr>
          <w:rFonts w:ascii="Times New Roman" w:cs="Times New Roman" w:eastAsia="Times New Roman" w:hAnsi="Times New Roman"/>
          <w:sz w:val="20"/>
          <w:szCs w:val="20"/>
          <w:color w:val="231F20"/>
        </w:rPr>
        <w:t>In 2020, the Company launched its MAS-REMOTE service offering within the IT Staffing Services segment and acquired AmberLeaf Partners, Inc. (“AmberLeaf”), enhancing the Company's customer experience consulting and managed services capabilities within the Data and Analytics Services segment.</w:t>
      </w:r>
    </w:p>
    <w:p>
      <w:pPr>
        <w:spacing w:after="0" w:line="188"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In 2021, the Company expanded its cloud service capabilities and broadened its remote staffing offerings to include offshore staffing services. In 2022, the Company established a subsidiary in Noida, India to support these operations.</w:t>
      </w:r>
    </w:p>
    <w:p>
      <w:pPr>
        <w:spacing w:after="0" w:line="169"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In 2024, the Company launched a ServiceNow practice and increased its focus on artificial intelligence-related technologies and applications across its businesses.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Operating Segments</w:t>
      </w:r>
    </w:p>
    <w:p>
      <w:pPr>
        <w:spacing w:after="0" w:line="124"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231F20"/>
        </w:rPr>
        <w:t>Our revenues are generated from two business segments: Data and Analytics Services and IT Staffing Services. Details related to these two businesses are discussed separately below, while information about our employees, differentiators, intellectual property rights and various other aspects of our business is shown in the aggregate for Mastech Digital, Inc.</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Data and Analytics Services</w:t>
      </w:r>
    </w:p>
    <w:p>
      <w:pPr>
        <w:spacing w:after="0" w:line="12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Our Data and Analytics Services segment was established through the July 2017 acquisition of the services business of InfoTrellis, Inc. and expanded through the October 2020 acquisition of AmberLeaf Partners, Inc. This segment provides consulting and managed services focused on data management, analytics, customer experience, and related digital technology initiatives.</w:t>
      </w:r>
    </w:p>
    <w:p>
      <w:pPr>
        <w:spacing w:after="0" w:line="6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The segment’s service offerings include data modernization, master data management, data governance, data integration, analytics, and customer experience solutions. These services support clients’ efforts to migrate from legacy data platforms to cloud-based and enterprise data architectures and to improve the use of data in business decision-making.</w:t>
      </w:r>
    </w:p>
    <w:p>
      <w:pPr>
        <w:spacing w:after="0" w:line="68"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31F20"/>
        </w:rPr>
        <w:t>We maintain delivery capabilities in both North America and India, including an offshore delivery center in Chennai, India, which supports project delivery and managed services engagements.</w:t>
      </w:r>
    </w:p>
    <w:p>
      <w:pPr>
        <w:spacing w:after="0" w:line="49"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31F20"/>
        </w:rPr>
        <w:t>We partner with selected technology providers to implement and support enterprise data and analytics platforms. Our clients range from mid-sized businesses to large enterprises across multiple industries.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Sales and Marketing</w:t>
      </w:r>
    </w:p>
    <w:p>
      <w:pPr>
        <w:spacing w:after="0" w:line="118"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Sales and Marketing at our Data and Analytics Services segment is a single, integrated function spanning across four groups in multiple locations: Marketing, Inside Sales, Principals, and Client Partners.</w:t>
      </w:r>
    </w:p>
    <w:p>
      <w:pPr>
        <w:spacing w:after="0" w:line="64" w:lineRule="exact"/>
        <w:rPr>
          <w:sz w:val="20"/>
          <w:szCs w:val="20"/>
          <w:color w:val="auto"/>
        </w:rPr>
      </w:pPr>
    </w:p>
    <w:p>
      <w:pPr>
        <w:ind w:left="840" w:right="240" w:hanging="350"/>
        <w:spacing w:after="0" w:line="252" w:lineRule="auto"/>
        <w:tabs>
          <w:tab w:leader="none" w:pos="84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Marketing team is responsible for designing inbound and outbound campaigns around data and business value, for dissemination through our omni channels and industry publications. Our Marketing team also works with our experts and thought leaders to create and disseminate data management, data engineering and data science thought leadership articles and white papers.</w:t>
      </w:r>
    </w:p>
    <w:p>
      <w:pPr>
        <w:spacing w:after="0" w:line="87" w:lineRule="exact"/>
        <w:rPr>
          <w:rFonts w:ascii="Arial" w:cs="Arial" w:eastAsia="Arial" w:hAnsi="Arial"/>
          <w:sz w:val="20"/>
          <w:szCs w:val="20"/>
          <w:color w:val="231F20"/>
        </w:rPr>
      </w:pPr>
    </w:p>
    <w:p>
      <w:pPr>
        <w:ind w:left="840" w:hanging="350"/>
        <w:spacing w:after="0" w:line="276" w:lineRule="auto"/>
        <w:tabs>
          <w:tab w:leader="none" w:pos="84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Inside Sales team is responsible for operating integrated email and voice-based outbound marketing campaigns targeted at specific industries and functional populations, on an ongoing basis.</w:t>
      </w:r>
    </w:p>
    <w:p>
      <w:pPr>
        <w:spacing w:after="0" w:line="64" w:lineRule="exact"/>
        <w:rPr>
          <w:rFonts w:ascii="Arial" w:cs="Arial" w:eastAsia="Arial" w:hAnsi="Arial"/>
          <w:sz w:val="20"/>
          <w:szCs w:val="20"/>
          <w:color w:val="231F20"/>
        </w:rPr>
      </w:pPr>
    </w:p>
    <w:p>
      <w:pPr>
        <w:ind w:left="840" w:right="80" w:hanging="350"/>
        <w:spacing w:after="0" w:line="258" w:lineRule="auto"/>
        <w:tabs>
          <w:tab w:leader="none" w:pos="84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onshore team of Principals and Client Partners is responsible for building buyer relationships with prospects and leads, and for converting those conversations into value-positive revenue generating engagements, as well as expanding existing client relationships.</w:t>
      </w:r>
    </w:p>
    <w:p>
      <w:pPr>
        <w:spacing w:after="0" w:line="81" w:lineRule="exact"/>
        <w:rPr>
          <w:rFonts w:ascii="Arial" w:cs="Arial" w:eastAsia="Arial" w:hAnsi="Arial"/>
          <w:sz w:val="20"/>
          <w:szCs w:val="20"/>
          <w:color w:val="231F20"/>
        </w:rPr>
      </w:pPr>
    </w:p>
    <w:p>
      <w:pPr>
        <w:ind w:left="840" w:hanging="350"/>
        <w:spacing w:after="0"/>
        <w:tabs>
          <w:tab w:leader="none" w:pos="840" w:val="left"/>
        </w:tabs>
        <w:numPr>
          <w:ilvl w:val="0"/>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Our typical credit terms require our invoices to be paid within 45 to 60-days of receipt by the client.</w:t>
      </w:r>
    </w:p>
    <w:p>
      <w:pPr>
        <w:spacing w:after="0" w:line="23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In addition to the above, our Partner / Alliance Relationships (such as those we have with IBM, Informatica and Oracle, among others) also provide us with a significant pipeline of opportunities and new business opportunities. Furthermore, prospective clients reach us through referrals from our existing client base, our reputation in the data &amp; analytics domain, and through our industry partners.</w:t>
      </w:r>
    </w:p>
    <w:p>
      <w:pPr>
        <w:spacing w:after="0" w:line="19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Once engaged with a prospect, our approach to value-delivery starts with the definition of a discrete business problem. We then master and manage our clients’ data and develop data products and deploy purpose-built advanced analytics, machine learning, and artificial intelligence, to deliver greater business velocity, significant cost reduction, and greater corporate resilience.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800"/>
          </w:cols>
          <w:pgMar w:left="540" w:top="750" w:right="54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i w:val="1"/>
          <w:iCs w:val="1"/>
          <w:color w:val="231F20"/>
        </w:rPr>
        <w:t>Our Practices</w:t>
      </w:r>
    </w:p>
    <w:p>
      <w:pPr>
        <w:spacing w:after="0" w:line="118"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Mastech InfoTrellis builds a strong data foundation that delivers significant business value. Our expertise and technology practice stretches across four key domain areas.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Data-in-Motion:</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create connected and modern data systems with seamless data flow through:</w:t>
      </w:r>
    </w:p>
    <w:p>
      <w:pPr>
        <w:spacing w:after="0" w:line="134" w:lineRule="exact"/>
        <w:rPr>
          <w:sz w:val="20"/>
          <w:szCs w:val="20"/>
          <w:color w:val="auto"/>
        </w:rPr>
      </w:pPr>
    </w:p>
    <w:p>
      <w:pPr>
        <w:ind w:left="840" w:hanging="350"/>
        <w:spacing w:after="0"/>
        <w:tabs>
          <w:tab w:leader="none" w:pos="84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Agile engineering: delivering efficient and scalable code through agile development practices;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Trusted data: ensuring data integrity through robust quality assurance processes;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Streamlined integration: enabling seamless data integration with a composable architecture and automation;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Data visibility: providing comprehensive data observability for monitoring and validating data ecosystems.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Data-as-an-Asset:</w:t>
      </w:r>
    </w:p>
    <w:p>
      <w:pPr>
        <w:spacing w:after="0" w:line="120"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We bridge data acquisition and activation with better data management through MDM, Data Governance, Data Privacy, and Data Warehousing solutions.</w:t>
      </w:r>
    </w:p>
    <w:p>
      <w:pPr>
        <w:spacing w:after="0" w:line="64" w:lineRule="exact"/>
        <w:rPr>
          <w:sz w:val="20"/>
          <w:szCs w:val="20"/>
          <w:color w:val="auto"/>
        </w:rPr>
      </w:pPr>
    </w:p>
    <w:p>
      <w:pPr>
        <w:ind w:left="840" w:right="60" w:hanging="350"/>
        <w:spacing w:after="0" w:line="276" w:lineRule="auto"/>
        <w:tabs>
          <w:tab w:leader="none" w:pos="84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approach focuses on understanding business use cases and designing technology solutions that directly address the end objectives.</w:t>
      </w:r>
    </w:p>
    <w:p>
      <w:pPr>
        <w:spacing w:after="0" w:line="64" w:lineRule="exact"/>
        <w:rPr>
          <w:rFonts w:ascii="Arial" w:cs="Arial" w:eastAsia="Arial" w:hAnsi="Arial"/>
          <w:sz w:val="20"/>
          <w:szCs w:val="20"/>
          <w:color w:val="231F20"/>
        </w:rPr>
      </w:pPr>
    </w:p>
    <w:p>
      <w:pPr>
        <w:ind w:left="840" w:hanging="350"/>
        <w:spacing w:after="0" w:line="276" w:lineRule="auto"/>
        <w:tabs>
          <w:tab w:leader="none" w:pos="84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collaborate with industry-leading data-focused technology providers, offering tailored solutions for unique business and technical needs.</w:t>
      </w:r>
    </w:p>
    <w:p>
      <w:pPr>
        <w:spacing w:after="0" w:line="64" w:lineRule="exact"/>
        <w:rPr>
          <w:rFonts w:ascii="Arial" w:cs="Arial" w:eastAsia="Arial" w:hAnsi="Arial"/>
          <w:sz w:val="20"/>
          <w:szCs w:val="20"/>
          <w:color w:val="231F20"/>
        </w:rPr>
      </w:pPr>
    </w:p>
    <w:p>
      <w:pPr>
        <w:ind w:left="840" w:right="20" w:hanging="350"/>
        <w:spacing w:after="0" w:line="276" w:lineRule="auto"/>
        <w:tabs>
          <w:tab w:leader="none" w:pos="84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vast experience in developing MDM platforms and our partnerships with data-focused software firms provide us with a deep understanding of the technology landscape.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Data Activation:</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unlock insights for better business decision-making through:</w:t>
      </w:r>
    </w:p>
    <w:p>
      <w:pPr>
        <w:spacing w:after="0" w:line="134" w:lineRule="exact"/>
        <w:rPr>
          <w:sz w:val="20"/>
          <w:szCs w:val="20"/>
          <w:color w:val="auto"/>
        </w:rPr>
      </w:pPr>
    </w:p>
    <w:p>
      <w:pPr>
        <w:ind w:left="840" w:right="100" w:hanging="350"/>
        <w:spacing w:after="0" w:line="276" w:lineRule="auto"/>
        <w:tabs>
          <w:tab w:leader="none" w:pos="84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Gap-to-goal roadmaps: We help address the gaps that hinder business goals, with technology-agnostic roadmaps and guide clients toward desired outcomes.</w:t>
      </w:r>
    </w:p>
    <w:p>
      <w:pPr>
        <w:spacing w:after="0" w:line="64" w:lineRule="exact"/>
        <w:rPr>
          <w:rFonts w:ascii="Arial" w:cs="Arial" w:eastAsia="Arial" w:hAnsi="Arial"/>
          <w:sz w:val="20"/>
          <w:szCs w:val="20"/>
          <w:color w:val="231F20"/>
        </w:rPr>
      </w:pPr>
    </w:p>
    <w:p>
      <w:pPr>
        <w:ind w:left="840" w:right="200" w:hanging="350"/>
        <w:spacing w:after="0" w:line="276" w:lineRule="auto"/>
        <w:tabs>
          <w:tab w:leader="none" w:pos="84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Tailored technology solutions: With experience in over two thousand implementations, we customize solutions that blend out-of-the-box functionalities with custom features.</w:t>
      </w:r>
    </w:p>
    <w:p>
      <w:pPr>
        <w:spacing w:after="0" w:line="64" w:lineRule="exact"/>
        <w:rPr>
          <w:rFonts w:ascii="Arial" w:cs="Arial" w:eastAsia="Arial" w:hAnsi="Arial"/>
          <w:sz w:val="20"/>
          <w:szCs w:val="20"/>
          <w:color w:val="231F20"/>
        </w:rPr>
      </w:pPr>
    </w:p>
    <w:p>
      <w:pPr>
        <w:ind w:left="840" w:right="200" w:hanging="350"/>
        <w:spacing w:after="0" w:line="276" w:lineRule="auto"/>
        <w:tabs>
          <w:tab w:leader="none" w:pos="84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Seamless integrations: Our experts excel at integrating sales, service, marketing, and BI platforms, for seamless data flow and efficient operations.</w:t>
      </w:r>
    </w:p>
    <w:p>
      <w:pPr>
        <w:spacing w:after="0" w:line="64" w:lineRule="exact"/>
        <w:rPr>
          <w:rFonts w:ascii="Arial" w:cs="Arial" w:eastAsia="Arial" w:hAnsi="Arial"/>
          <w:sz w:val="20"/>
          <w:szCs w:val="20"/>
          <w:color w:val="231F20"/>
        </w:rPr>
      </w:pPr>
    </w:p>
    <w:p>
      <w:pPr>
        <w:ind w:left="840" w:right="900" w:hanging="350"/>
        <w:spacing w:after="0" w:line="276" w:lineRule="auto"/>
        <w:tabs>
          <w:tab w:leader="none" w:pos="84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Empowering expertise: Post implementation, we equip clients with skills to maintain and leverage tools, manage administration, streamline business processes.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Analytics, AI, and Data Sciences: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drive informed decision-making with modern statistical techniques and analytics with a strong focus on:</w:t>
      </w:r>
    </w:p>
    <w:p>
      <w:pPr>
        <w:spacing w:after="0" w:line="134" w:lineRule="exact"/>
        <w:rPr>
          <w:sz w:val="20"/>
          <w:szCs w:val="20"/>
          <w:color w:val="auto"/>
        </w:rPr>
      </w:pPr>
    </w:p>
    <w:p>
      <w:pPr>
        <w:ind w:left="840" w:right="420" w:hanging="350"/>
        <w:spacing w:after="0" w:line="276" w:lineRule="auto"/>
        <w:tabs>
          <w:tab w:leader="none" w:pos="84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Domain expertise: With cutting-edge techniques and industry knowledge, we derive valuable insights, predictions, and actionable strategies from client data.</w:t>
      </w:r>
    </w:p>
    <w:p>
      <w:pPr>
        <w:spacing w:after="0" w:line="64" w:lineRule="exact"/>
        <w:rPr>
          <w:rFonts w:ascii="Arial" w:cs="Arial" w:eastAsia="Arial" w:hAnsi="Arial"/>
          <w:sz w:val="20"/>
          <w:szCs w:val="20"/>
          <w:color w:val="231F20"/>
        </w:rPr>
      </w:pPr>
    </w:p>
    <w:p>
      <w:pPr>
        <w:ind w:left="840" w:right="40" w:hanging="350"/>
        <w:spacing w:after="0" w:line="276" w:lineRule="auto"/>
        <w:tabs>
          <w:tab w:leader="none" w:pos="84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Holistic data strategy: We develop data strategies that encompass governance, acquisition, quality, and integration, laying a foundation for effective data-driven decision-making.</w:t>
      </w:r>
    </w:p>
    <w:p>
      <w:pPr>
        <w:spacing w:after="0" w:line="64" w:lineRule="exact"/>
        <w:rPr>
          <w:rFonts w:ascii="Arial" w:cs="Arial" w:eastAsia="Arial" w:hAnsi="Arial"/>
          <w:sz w:val="20"/>
          <w:szCs w:val="20"/>
          <w:color w:val="231F20"/>
        </w:rPr>
      </w:pPr>
    </w:p>
    <w:p>
      <w:pPr>
        <w:ind w:left="840" w:right="20" w:hanging="350"/>
        <w:spacing w:after="0" w:line="276" w:lineRule="auto"/>
        <w:tabs>
          <w:tab w:leader="none" w:pos="84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Scalable and efficient: Leveraging scalable technologies and architectures, we handle increasing data volumes and evolving needs while providing high-performance and timely insights.</w:t>
      </w:r>
    </w:p>
    <w:p>
      <w:pPr>
        <w:spacing w:after="0" w:line="64" w:lineRule="exact"/>
        <w:rPr>
          <w:rFonts w:ascii="Arial" w:cs="Arial" w:eastAsia="Arial" w:hAnsi="Arial"/>
          <w:sz w:val="20"/>
          <w:szCs w:val="20"/>
          <w:color w:val="231F20"/>
        </w:rPr>
      </w:pPr>
    </w:p>
    <w:p>
      <w:pPr>
        <w:ind w:left="840" w:right="460" w:hanging="350"/>
        <w:spacing w:after="0" w:line="276" w:lineRule="auto"/>
        <w:tabs>
          <w:tab w:leader="none" w:pos="84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ROI and business impact: Our data-driven strategies align with client key performance indicators and help unlock cost savings, impact revenue growth, and increase process efficiencies.</w:t>
      </w:r>
    </w:p>
    <w:p>
      <w:pPr>
        <w:sectPr>
          <w:pgSz w:w="11880" w:h="15480" w:orient="portrait"/>
          <w:cols w:equalWidth="0" w:num="1">
            <w:col w:w="10780"/>
          </w:cols>
          <w:pgMar w:left="540" w:top="75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780"/>
          </w:cols>
          <w:pgMar w:left="540" w:top="752" w:right="56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i w:val="1"/>
          <w:iCs w:val="1"/>
          <w:color w:val="231F20"/>
        </w:rPr>
        <w:t>Geographic and Vertical Focus</w:t>
      </w:r>
    </w:p>
    <w:p>
      <w:pPr>
        <w:spacing w:after="0" w:line="118"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231F20"/>
        </w:rPr>
        <w:t>The Data and Analytics Services segment primarily serves customers located in North America, with additional customers in Europe and the Asia-Pacific region. The segment’s client base consists largely of large enterprises, including Fortune 500 organizations. Typical engagements range from approximately $0.3 million to $2.5 million, depending on scope and duration. Customers operate across multiple industry verticals, with financial services, retail, healthcare, manufacturing and government representing significant industries served. The table below presents customer revenue percentages by industry vertical for 2025:</w:t>
      </w:r>
    </w:p>
    <w:p>
      <w:pPr>
        <w:spacing w:after="0" w:line="252" w:lineRule="exact"/>
        <w:rPr>
          <w:sz w:val="20"/>
          <w:szCs w:val="20"/>
          <w:color w:val="auto"/>
        </w:rPr>
      </w:pPr>
    </w:p>
    <w:tbl>
      <w:tblPr>
        <w:tblLayout w:type="fixed"/>
        <w:tblInd w:w="2160" w:type="dxa"/>
        <w:tblCellMar>
          <w:top w:w="0" w:type="dxa"/>
          <w:left w:w="0" w:type="dxa"/>
          <w:bottom w:w="0" w:type="dxa"/>
          <w:right w:w="0" w:type="dxa"/>
        </w:tblCellMar>
      </w:tblPr>
      <w:tr>
        <w:trPr>
          <w:trHeight w:val="244"/>
        </w:trPr>
        <w:tc>
          <w:tcPr>
            <w:tcW w:w="20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Financial Services</w:t>
            </w:r>
          </w:p>
        </w:tc>
        <w:tc>
          <w:tcPr>
            <w:tcW w:w="1200" w:type="dxa"/>
            <w:vAlign w:val="bottom"/>
            <w:shd w:val="clear" w:color="auto" w:fill="E6E7E8"/>
          </w:tcPr>
          <w:p>
            <w:pPr>
              <w:jc w:val="right"/>
              <w:ind w:right="160"/>
              <w:spacing w:after="0"/>
              <w:rPr>
                <w:sz w:val="20"/>
                <w:szCs w:val="20"/>
                <w:color w:val="auto"/>
              </w:rPr>
            </w:pPr>
            <w:r>
              <w:rPr>
                <w:rFonts w:ascii="Times New Roman" w:cs="Times New Roman" w:eastAsia="Times New Roman" w:hAnsi="Times New Roman"/>
                <w:sz w:val="20"/>
                <w:szCs w:val="20"/>
                <w:color w:val="231F20"/>
              </w:rPr>
              <w:t>28%</w:t>
            </w:r>
          </w:p>
        </w:tc>
        <w:tc>
          <w:tcPr>
            <w:tcW w:w="1780" w:type="dxa"/>
            <w:vAlign w:val="bottom"/>
            <w:shd w:val="clear" w:color="auto" w:fill="E6E7E8"/>
          </w:tcPr>
          <w:p>
            <w:pPr>
              <w:ind w:left="260"/>
              <w:spacing w:after="0"/>
              <w:rPr>
                <w:sz w:val="20"/>
                <w:szCs w:val="20"/>
                <w:color w:val="auto"/>
              </w:rPr>
            </w:pPr>
            <w:r>
              <w:rPr>
                <w:rFonts w:ascii="Times New Roman" w:cs="Times New Roman" w:eastAsia="Times New Roman" w:hAnsi="Times New Roman"/>
                <w:sz w:val="20"/>
                <w:szCs w:val="20"/>
                <w:color w:val="231F20"/>
              </w:rPr>
              <w:t>Retail</w:t>
            </w:r>
          </w:p>
        </w:tc>
        <w:tc>
          <w:tcPr>
            <w:tcW w:w="14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44"/>
        </w:trPr>
        <w:tc>
          <w:tcPr>
            <w:tcW w:w="2020" w:type="dxa"/>
            <w:vAlign w:val="bottom"/>
          </w:tcPr>
          <w:p>
            <w:pPr>
              <w:spacing w:after="0"/>
              <w:rPr>
                <w:sz w:val="20"/>
                <w:szCs w:val="20"/>
                <w:color w:val="auto"/>
              </w:rPr>
            </w:pPr>
            <w:r>
              <w:rPr>
                <w:rFonts w:ascii="Times New Roman" w:cs="Times New Roman" w:eastAsia="Times New Roman" w:hAnsi="Times New Roman"/>
                <w:sz w:val="20"/>
                <w:szCs w:val="20"/>
                <w:color w:val="231F20"/>
              </w:rPr>
              <w:t>Healthcare</w:t>
            </w:r>
          </w:p>
        </w:tc>
        <w:tc>
          <w:tcPr>
            <w:tcW w:w="12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28%</w:t>
            </w:r>
          </w:p>
        </w:tc>
        <w:tc>
          <w:tcPr>
            <w:tcW w:w="1780" w:type="dxa"/>
            <w:vAlign w:val="bottom"/>
          </w:tcPr>
          <w:p>
            <w:pPr>
              <w:ind w:left="260"/>
              <w:spacing w:after="0"/>
              <w:rPr>
                <w:sz w:val="20"/>
                <w:szCs w:val="20"/>
                <w:color w:val="auto"/>
              </w:rPr>
            </w:pPr>
            <w:r>
              <w:rPr>
                <w:rFonts w:ascii="Times New Roman" w:cs="Times New Roman" w:eastAsia="Times New Roman" w:hAnsi="Times New Roman"/>
                <w:sz w:val="20"/>
                <w:szCs w:val="20"/>
                <w:color w:val="231F20"/>
              </w:rPr>
              <w:t>Other</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r>
      <w:tr>
        <w:trPr>
          <w:trHeight w:val="244"/>
        </w:trPr>
        <w:tc>
          <w:tcPr>
            <w:tcW w:w="20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Manufacturing</w:t>
            </w:r>
          </w:p>
        </w:tc>
        <w:tc>
          <w:tcPr>
            <w:tcW w:w="1200" w:type="dxa"/>
            <w:vAlign w:val="bottom"/>
            <w:shd w:val="clear" w:color="auto" w:fill="E6E7E8"/>
          </w:tcPr>
          <w:p>
            <w:pPr>
              <w:jc w:val="right"/>
              <w:ind w:right="160"/>
              <w:spacing w:after="0"/>
              <w:rPr>
                <w:sz w:val="20"/>
                <w:szCs w:val="20"/>
                <w:color w:val="auto"/>
              </w:rPr>
            </w:pPr>
            <w:r>
              <w:rPr>
                <w:rFonts w:ascii="Times New Roman" w:cs="Times New Roman" w:eastAsia="Times New Roman" w:hAnsi="Times New Roman"/>
                <w:sz w:val="20"/>
                <w:szCs w:val="20"/>
                <w:color w:val="231F20"/>
              </w:rPr>
              <w:t>18%</w:t>
            </w:r>
          </w:p>
        </w:tc>
        <w:tc>
          <w:tcPr>
            <w:tcW w:w="1780" w:type="dxa"/>
            <w:vAlign w:val="bottom"/>
            <w:shd w:val="clear" w:color="auto" w:fill="E6E7E8"/>
          </w:tcPr>
          <w:p>
            <w:pPr>
              <w:spacing w:after="0"/>
              <w:rPr>
                <w:sz w:val="21"/>
                <w:szCs w:val="21"/>
                <w:color w:val="auto"/>
              </w:rPr>
            </w:pPr>
          </w:p>
        </w:tc>
        <w:tc>
          <w:tcPr>
            <w:tcW w:w="1480" w:type="dxa"/>
            <w:vAlign w:val="bottom"/>
            <w:shd w:val="clear" w:color="auto" w:fill="E6E7E8"/>
          </w:tcPr>
          <w:p>
            <w:pPr>
              <w:spacing w:after="0"/>
              <w:rPr>
                <w:sz w:val="21"/>
                <w:szCs w:val="2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 Staffing Services</w:t>
      </w:r>
    </w:p>
    <w:p>
      <w:pPr>
        <w:spacing w:after="0" w:line="124"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The IT Staffing Services segment provides contract-based technology professionals to clients to support project initiatives and ongoing operational needs. Services are typically delivered under master service agreements, statements of work, or standard service agreements, with pricing generally based on hourly bill rates.</w:t>
      </w:r>
    </w:p>
    <w:p>
      <w:pPr>
        <w:spacing w:after="0" w:line="6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Clients typically engage multiple staffing providers, and assignments are awarded based on qualifications, availability, and pricing. The Company invoices clients on a weekly, bi-weekly, or monthly basis in accordance with contractual terms, with payment terms generally ranging from 30 to 45 days.</w:t>
      </w:r>
    </w:p>
    <w:p>
      <w:pPr>
        <w:spacing w:after="0" w:line="68"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231F20"/>
        </w:rPr>
        <w:t>In addition to contract staffing, the Company provides permanent placement services on an opportunistic basis. Permanent placement revenues have historically represented approximately 1% of total revenues.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Sales and Marketing</w:t>
      </w:r>
    </w:p>
    <w:p>
      <w:pPr>
        <w:spacing w:after="0" w:line="11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We target much of our marketing efforts toward businesses and institutions with significant budgets, recurring IT staffing and Digital Transformation needs, or new transformation efforts. We work to increase our engagements with our existing client relationships as well as continually developing new clients. Most of our strategic relationships are established at the vice president / sales director level.</w:t>
      </w:r>
    </w:p>
    <w:p>
      <w:pPr>
        <w:spacing w:after="0" w:line="19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Selling is conducted through account executives utilizing a sales model which is desirable to our clients’ needs. For clients with a need to supplement their own abilities to attract highly qualified temporary IT personnel and prefer a low-touch sales model, such as Systems Integrator and staffing clients, we generally deploy a centralized telesales model, complemented with client visits. We supplement these domestic sales efforts through our sales organization in India, whose account executives target smaller IT staffing clients utilizing a cost-effective offshore telesales model. For end-user clients, who typically prefer a higher-touch sales model, we generally utilize a branch service model which deploys sales and recruitment resources locally, or regionally, in select geographies within the U.S. Account executives generally are responsible for a combination of new business development efforts and expanding existing client relationships. Account executives at our branch operations call on, and meet with, potential new customers and are also responsible for maintaining existing client relationships within their geographic territory. These account executives are generally paired with recruiters and both receive incentive compensation based on revenue generation activities using a localized sales and recruitment model.</w:t>
      </w:r>
    </w:p>
    <w:p>
      <w:pPr>
        <w:spacing w:after="0" w:line="20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Many large end-users of IT staffing services retain a third party to provide vendor management services to centralize the consultant hiring process and reduce costs. Under this arrangement, the third-party managed service provider (“MSP”) retains control of the vendor selection and vendor evaluation process, which somewhat weakens the relationship built with the client. Our lower-cost centralized telesales model and highly efficient offshore recruiting model have better positioned us to respond to the growing use of MSPs.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Recruiting</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operate several small recruiting centers located in the U.S. and one significantly larger facility in NOIDA, India, that deliver a full range of recruiting and sourcing services. Our centers employ approximately 89 recruiters and sourcers who focus on recruiting U.S.-based candidates to service a geographically diverse client base in the U.S. Our ability to respond to client requests faster than the competition is critical for success in our industry as most staffing firms access the same candidate pool via job boards, websites and other recruitment tools. The combination of our offshore recruiting capabilities, investment in sourcing and recruiting processes, expanded search coverage, around-the-clock sourcing, and extensive candidate pools, gives us the ability to deliver high-quality candidates to our clients in a timely fashion.</w:t>
      </w:r>
    </w:p>
    <w:p>
      <w:pPr>
        <w:sectPr>
          <w:pgSz w:w="11880" w:h="15480" w:orient="portrait"/>
          <w:cols w:equalWidth="0" w:num="1">
            <w:col w:w="10760"/>
          </w:cols>
          <w:pgMar w:left="540" w:top="752" w:right="58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760"/>
          </w:cols>
          <w:pgMar w:left="540" w:top="752" w:right="580" w:bottom="0" w:gutter="0" w:footer="0" w:header="0"/>
          <w:type w:val="continuous"/>
        </w:sectPr>
      </w:pPr>
    </w:p>
    <w:bookmarkStart w:id="17" w:name="page18"/>
    <w:bookmarkEnd w:id="17"/>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We continue to invest in leading technologies and recruitment tools to enhance efficiencies. For example, we use artificial intelligence and web-based tools to expand the reach of our candidate searches. We also employ a state-of-the-art applicant tracking system that has recently been enhanced with proprietary toolkits and job board / internet interfacing capabilities, resulting in further operational efficiencies.</w:t>
      </w:r>
    </w:p>
    <w:p>
      <w:pPr>
        <w:spacing w:after="0" w:line="194"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In late 2018, we significantly expanded our offshore recruitment offices in NOIDA which gave us the ability to nearly double our recruiter seats. This facility provides our offshore organization with state-of-the-art infrastructure and workforce amenities to attract top-quality recruiters and sourcers. This centralized offshore facility also affords us the ability to improve operational efficiencies compared to operating two offshore facilities.</w:t>
      </w:r>
    </w:p>
    <w:p>
      <w:pPr>
        <w:spacing w:after="0" w:line="19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We have access to large and differentiated recruiting pools due to our brand recognition with both U.S. citizens and H1-B visa holders in the U.S. Unlike most staffing firms that have a high concentration of either H1-B workers or W -2 hourly U.S. citizens, we have historically maintained a balance of H1-B and W-2 hourly employees. We believe that this balanced mix allows us to access a broader candidate pool than our primary competition.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Technology and Client Focus of our IT Staffing and Digital Transformation Services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staffing delivery teams, spread across the U.S. and India, are segmented by 1) technologies, allowing us to reach deep and wide in our understanding of technology domains; and 2) client relationships which gives us a keen understanding of our clients’ needs and preferences. The delivery teams work in an integrated manner to provide quality IT talent with a faster turnaround time than many of our competitors. We have long-standing engagements with marquee brands and other premier global enterprises across various industries.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IT Staffing — Digital Technologies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Recognizing that a new breed of IT professionals adept in digital technologies is in high demand, we enhanced our recruitment capabilities to focus on digital technology skill sets. Today, Mastech Digital provides its clients with the ability to secure skill sets that encompass social, mobile, data, analytics, cloud-based technologies and automation. IT staffing for digital technologies is growing much faster than mainstream technologies, a trend that is expected to continue into the future. Digital technologies include the following areas:</w:t>
      </w:r>
    </w:p>
    <w:p>
      <w:pPr>
        <w:spacing w:after="0" w:line="247" w:lineRule="exact"/>
        <w:rPr>
          <w:sz w:val="20"/>
          <w:szCs w:val="20"/>
          <w:color w:val="auto"/>
        </w:rPr>
      </w:pPr>
    </w:p>
    <w:tbl>
      <w:tblPr>
        <w:tblLayout w:type="fixed"/>
        <w:tblInd w:w="440" w:type="dxa"/>
        <w:tblCellMar>
          <w:top w:w="0" w:type="dxa"/>
          <w:left w:w="0" w:type="dxa"/>
          <w:bottom w:w="0" w:type="dxa"/>
          <w:right w:w="0" w:type="dxa"/>
        </w:tblCellMar>
      </w:tblPr>
      <w:tr>
        <w:trPr>
          <w:trHeight w:val="266"/>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Social Analytics</w:t>
            </w:r>
          </w:p>
        </w:tc>
        <w:tc>
          <w:tcPr>
            <w:tcW w:w="1400" w:type="dxa"/>
            <w:vAlign w:val="bottom"/>
          </w:tcPr>
          <w:p>
            <w:pPr>
              <w:ind w:left="1180"/>
              <w:spacing w:after="0"/>
              <w:rPr>
                <w:sz w:val="20"/>
                <w:szCs w:val="20"/>
                <w:color w:val="auto"/>
              </w:rPr>
            </w:pPr>
            <w:r>
              <w:rPr>
                <w:rFonts w:ascii="Arial" w:cs="Arial" w:eastAsia="Arial" w:hAnsi="Arial"/>
                <w:sz w:val="20"/>
                <w:szCs w:val="20"/>
                <w:color w:val="231F20"/>
              </w:rPr>
              <w:t>•</w:t>
            </w:r>
          </w:p>
        </w:tc>
        <w:tc>
          <w:tcPr>
            <w:tcW w:w="2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Data Engineering</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Social Blogging</w:t>
            </w:r>
          </w:p>
        </w:tc>
        <w:tc>
          <w:tcPr>
            <w:tcW w:w="1400" w:type="dxa"/>
            <w:vAlign w:val="bottom"/>
          </w:tcPr>
          <w:p>
            <w:pPr>
              <w:ind w:left="1180"/>
              <w:spacing w:after="0"/>
              <w:rPr>
                <w:sz w:val="20"/>
                <w:szCs w:val="20"/>
                <w:color w:val="auto"/>
              </w:rPr>
            </w:pPr>
            <w:r>
              <w:rPr>
                <w:rFonts w:ascii="Arial" w:cs="Arial" w:eastAsia="Arial" w:hAnsi="Arial"/>
                <w:sz w:val="20"/>
                <w:szCs w:val="20"/>
                <w:color w:val="231F20"/>
              </w:rPr>
              <w:t>•</w:t>
            </w:r>
          </w:p>
        </w:tc>
        <w:tc>
          <w:tcPr>
            <w:tcW w:w="2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Data Analytics</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Social Campaign Management</w:t>
            </w:r>
          </w:p>
        </w:tc>
        <w:tc>
          <w:tcPr>
            <w:tcW w:w="1400" w:type="dxa"/>
            <w:vAlign w:val="bottom"/>
          </w:tcPr>
          <w:p>
            <w:pPr>
              <w:ind w:left="1180"/>
              <w:spacing w:after="0"/>
              <w:rPr>
                <w:sz w:val="20"/>
                <w:szCs w:val="20"/>
                <w:color w:val="auto"/>
              </w:rPr>
            </w:pPr>
            <w:r>
              <w:rPr>
                <w:rFonts w:ascii="Arial" w:cs="Arial" w:eastAsia="Arial" w:hAnsi="Arial"/>
                <w:sz w:val="20"/>
                <w:szCs w:val="20"/>
                <w:color w:val="231F20"/>
              </w:rPr>
              <w:t>•</w:t>
            </w:r>
          </w:p>
        </w:tc>
        <w:tc>
          <w:tcPr>
            <w:tcW w:w="2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Data Science</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Enterprise Mobility Strategy</w:t>
            </w:r>
          </w:p>
        </w:tc>
        <w:tc>
          <w:tcPr>
            <w:tcW w:w="1400" w:type="dxa"/>
            <w:vAlign w:val="bottom"/>
          </w:tcPr>
          <w:p>
            <w:pPr>
              <w:ind w:left="1180"/>
              <w:spacing w:after="0"/>
              <w:rPr>
                <w:sz w:val="20"/>
                <w:szCs w:val="20"/>
                <w:color w:val="auto"/>
              </w:rPr>
            </w:pPr>
            <w:r>
              <w:rPr>
                <w:rFonts w:ascii="Arial" w:cs="Arial" w:eastAsia="Arial" w:hAnsi="Arial"/>
                <w:sz w:val="20"/>
                <w:szCs w:val="20"/>
                <w:color w:val="231F20"/>
              </w:rPr>
              <w:t>•</w:t>
            </w:r>
          </w:p>
        </w:tc>
        <w:tc>
          <w:tcPr>
            <w:tcW w:w="2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Cloud Strategy</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Mobile Application Development</w:t>
            </w:r>
          </w:p>
        </w:tc>
        <w:tc>
          <w:tcPr>
            <w:tcW w:w="4360" w:type="dxa"/>
            <w:vAlign w:val="bottom"/>
            <w:gridSpan w:val="2"/>
          </w:tcPr>
          <w:p>
            <w:pPr>
              <w:ind w:left="1180"/>
              <w:spacing w:after="0"/>
              <w:rPr>
                <w:sz w:val="20"/>
                <w:szCs w:val="20"/>
                <w:color w:val="auto"/>
              </w:rPr>
            </w:pP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Cloud Implementation and Support</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40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Artificial Intelligence</w:t>
            </w:r>
          </w:p>
        </w:tc>
        <w:tc>
          <w:tcPr>
            <w:tcW w:w="1400" w:type="dxa"/>
            <w:vAlign w:val="bottom"/>
          </w:tcPr>
          <w:p>
            <w:pPr>
              <w:ind w:left="1180"/>
              <w:spacing w:after="0"/>
              <w:rPr>
                <w:sz w:val="20"/>
                <w:szCs w:val="20"/>
                <w:color w:val="auto"/>
              </w:rPr>
            </w:pPr>
            <w:r>
              <w:rPr>
                <w:rFonts w:ascii="Arial" w:cs="Arial" w:eastAsia="Arial" w:hAnsi="Arial"/>
                <w:sz w:val="20"/>
                <w:szCs w:val="20"/>
                <w:color w:val="231F20"/>
              </w:rPr>
              <w:t>•</w:t>
            </w:r>
          </w:p>
        </w:tc>
        <w:tc>
          <w:tcPr>
            <w:tcW w:w="2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Machine Learning</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IT Staffing — Mainstream Technologies</w:t>
      </w:r>
    </w:p>
    <w:p>
      <w:pPr>
        <w:spacing w:after="0" w:line="12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A large part of our business today comes from IT staffing services around mainstream technologies. We provide services and have strategic relationships in many high-demand mainstream technology areas. Our IT professionals help design, develop, integrate, maintain and support mainstream technologies in the following areas:</w:t>
      </w: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266"/>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3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Mainframes</w:t>
            </w: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Project Management</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3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Databases</w:t>
            </w: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Open Source (JAVA)</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3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Middleware</w:t>
            </w: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Data Warehousing</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3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Enterprise Systems</w:t>
            </w: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w w:val="98"/>
              </w:rPr>
              <w:t>Microsoft (C, .NET, SQL)</w:t>
            </w:r>
          </w:p>
        </w:tc>
      </w:tr>
      <w:tr>
        <w:trPr>
          <w:trHeight w:val="364"/>
        </w:trPr>
        <w:tc>
          <w:tcPr>
            <w:tcW w:w="3980" w:type="dxa"/>
            <w:vAlign w:val="bottom"/>
            <w:gridSpan w:val="2"/>
          </w:tcPr>
          <w:p>
            <w:pPr>
              <w:spacing w:after="0"/>
              <w:rPr>
                <w:sz w:val="20"/>
                <w:szCs w:val="20"/>
                <w:color w:val="auto"/>
              </w:rPr>
            </w:pP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SoA and Web Services</w:t>
            </w: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 Administration</w:t>
            </w:r>
          </w:p>
        </w:tc>
      </w:tr>
      <w:tr>
        <w:trPr>
          <w:trHeight w:val="364"/>
        </w:trPr>
        <w:tc>
          <w:tcPr>
            <w:tcW w:w="220" w:type="dxa"/>
            <w:vAlign w:val="bottom"/>
          </w:tcPr>
          <w:p>
            <w:pPr>
              <w:spacing w:after="0"/>
              <w:rPr>
                <w:sz w:val="20"/>
                <w:szCs w:val="20"/>
                <w:color w:val="auto"/>
              </w:rPr>
            </w:pPr>
            <w:r>
              <w:rPr>
                <w:rFonts w:ascii="Arial" w:cs="Arial" w:eastAsia="Arial" w:hAnsi="Arial"/>
                <w:sz w:val="20"/>
                <w:szCs w:val="20"/>
                <w:color w:val="231F20"/>
              </w:rPr>
              <w:t>•</w:t>
            </w:r>
          </w:p>
        </w:tc>
        <w:tc>
          <w:tcPr>
            <w:tcW w:w="37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Verification and Validation</w:t>
            </w: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 Helpdesk and Support</w:t>
            </w:r>
          </w:p>
        </w:tc>
      </w:tr>
      <w:tr>
        <w:trPr>
          <w:trHeight w:val="364"/>
        </w:trPr>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tcPr>
          <w:p>
            <w:pPr>
              <w:ind w:left="1420"/>
              <w:spacing w:after="0"/>
              <w:rPr>
                <w:sz w:val="20"/>
                <w:szCs w:val="20"/>
                <w:color w:val="auto"/>
              </w:rPr>
            </w:pPr>
            <w:r>
              <w:rPr>
                <w:rFonts w:ascii="Arial" w:cs="Arial" w:eastAsia="Arial" w:hAnsi="Arial"/>
                <w:sz w:val="20"/>
                <w:szCs w:val="20"/>
                <w:color w:val="231F20"/>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Business Analysis</w:t>
            </w:r>
          </w:p>
        </w:tc>
      </w:tr>
    </w:tbl>
    <w:p>
      <w:pPr>
        <w:spacing w:after="0" w:line="200" w:lineRule="exact"/>
        <w:rPr>
          <w:sz w:val="20"/>
          <w:szCs w:val="20"/>
          <w:color w:val="auto"/>
        </w:rPr>
      </w:pPr>
    </w:p>
    <w:p>
      <w:pPr>
        <w:sectPr>
          <w:pgSz w:w="11880" w:h="15480" w:orient="portrait"/>
          <w:cols w:equalWidth="0" w:num="1">
            <w:col w:w="10780"/>
          </w:cols>
          <w:pgMar w:left="540" w:top="750" w:right="560" w:bottom="0" w:gutter="0" w:footer="0" w:header="0"/>
        </w:sect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780"/>
          </w:cols>
          <w:pgMar w:left="540" w:top="750" w:right="5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231F20"/>
        </w:rPr>
        <w:t>Digital Learning Services</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Our digital learning practice provides custom training programs for different organizational needs. With rich experience and proven success in handling several learning and performance engagements across industries, Mastech Digital’s team combines digital and physical learning modalities to ensure unified organizational behavior and augmented performance across teams. Mastech Digital’s learning paradigm consists of web-based learning, mobile learning, social learning, hybrid learning and virtual learning.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Geographic Presence &amp; Industry Verticals</w:t>
      </w:r>
    </w:p>
    <w:p>
      <w:pPr>
        <w:spacing w:after="0" w:line="118" w:lineRule="exact"/>
        <w:rPr>
          <w:sz w:val="20"/>
          <w:szCs w:val="20"/>
          <w:color w:val="auto"/>
        </w:rPr>
      </w:pPr>
    </w:p>
    <w:p>
      <w:pPr>
        <w:ind w:right="100" w:firstLine="490"/>
        <w:spacing w:after="0" w:line="278" w:lineRule="auto"/>
        <w:rPr>
          <w:sz w:val="20"/>
          <w:szCs w:val="20"/>
          <w:color w:val="auto"/>
        </w:rPr>
      </w:pPr>
      <w:r>
        <w:rPr>
          <w:rFonts w:ascii="Times New Roman" w:cs="Times New Roman" w:eastAsia="Times New Roman" w:hAnsi="Times New Roman"/>
          <w:sz w:val="19"/>
          <w:szCs w:val="19"/>
          <w:color w:val="231F20"/>
        </w:rPr>
        <w:t>All of our IT staffing services revenues is generated from services provided in the U.S. We market our services on a national basis and have the ability to provide services in all 50 U.S. States. Our geographical concentration tends to track major client locations, such as California, Texas, Pennsylvania and Virginia, and in large metropolitan areas such as Chicago and New York City.</w:t>
      </w:r>
    </w:p>
    <w:p>
      <w:pPr>
        <w:spacing w:after="0" w:line="171"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31F20"/>
        </w:rPr>
        <w:t>We provide these services across a broad spectrum of industry verticals, including: financial services, government, healthcare, retail, technology and telecommunications. Below is a breakdown of our IT Staffing Services revenues for the year ended December 31, 2025:</w:t>
      </w:r>
    </w:p>
    <w:p>
      <w:pPr>
        <w:spacing w:after="0" w:line="244" w:lineRule="exact"/>
        <w:rPr>
          <w:sz w:val="20"/>
          <w:szCs w:val="20"/>
          <w:color w:val="auto"/>
        </w:rPr>
      </w:pPr>
    </w:p>
    <w:tbl>
      <w:tblPr>
        <w:tblLayout w:type="fixed"/>
        <w:tblInd w:w="2160" w:type="dxa"/>
        <w:tblCellMar>
          <w:top w:w="0" w:type="dxa"/>
          <w:left w:w="0" w:type="dxa"/>
          <w:bottom w:w="0" w:type="dxa"/>
          <w:right w:w="0" w:type="dxa"/>
        </w:tblCellMar>
      </w:tblPr>
      <w:tr>
        <w:trPr>
          <w:trHeight w:val="244"/>
        </w:trPr>
        <w:tc>
          <w:tcPr>
            <w:tcW w:w="20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Financial Services</w:t>
            </w:r>
          </w:p>
        </w:tc>
        <w:tc>
          <w:tcPr>
            <w:tcW w:w="1220" w:type="dxa"/>
            <w:vAlign w:val="bottom"/>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rPr>
              <w:t>60%</w:t>
            </w:r>
          </w:p>
        </w:tc>
        <w:tc>
          <w:tcPr>
            <w:tcW w:w="1940" w:type="dxa"/>
            <w:vAlign w:val="bottom"/>
            <w:shd w:val="clear" w:color="auto" w:fill="E6E7E8"/>
          </w:tcPr>
          <w:p>
            <w:pPr>
              <w:ind w:left="320"/>
              <w:spacing w:after="0"/>
              <w:rPr>
                <w:sz w:val="20"/>
                <w:szCs w:val="20"/>
                <w:color w:val="auto"/>
              </w:rPr>
            </w:pPr>
            <w:r>
              <w:rPr>
                <w:rFonts w:ascii="Times New Roman" w:cs="Times New Roman" w:eastAsia="Times New Roman" w:hAnsi="Times New Roman"/>
                <w:sz w:val="20"/>
                <w:szCs w:val="20"/>
                <w:color w:val="231F20"/>
              </w:rPr>
              <w:t>Retail</w:t>
            </w:r>
          </w:p>
        </w:tc>
        <w:tc>
          <w:tcPr>
            <w:tcW w:w="13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44"/>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Technology</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8%</w:t>
            </w:r>
          </w:p>
        </w:tc>
        <w:tc>
          <w:tcPr>
            <w:tcW w:w="1940" w:type="dxa"/>
            <w:vAlign w:val="bottom"/>
          </w:tcPr>
          <w:p>
            <w:pPr>
              <w:ind w:left="320"/>
              <w:spacing w:after="0"/>
              <w:rPr>
                <w:sz w:val="20"/>
                <w:szCs w:val="20"/>
                <w:color w:val="auto"/>
              </w:rPr>
            </w:pPr>
            <w:r>
              <w:rPr>
                <w:rFonts w:ascii="Times New Roman" w:cs="Times New Roman" w:eastAsia="Times New Roman" w:hAnsi="Times New Roman"/>
                <w:sz w:val="20"/>
                <w:szCs w:val="20"/>
                <w:color w:val="231F20"/>
              </w:rPr>
              <w:t>Telecom</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44"/>
        </w:trPr>
        <w:tc>
          <w:tcPr>
            <w:tcW w:w="20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Government</w:t>
            </w:r>
          </w:p>
        </w:tc>
        <w:tc>
          <w:tcPr>
            <w:tcW w:w="1220" w:type="dxa"/>
            <w:vAlign w:val="bottom"/>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rPr>
              <w:t>6%</w:t>
            </w:r>
          </w:p>
        </w:tc>
        <w:tc>
          <w:tcPr>
            <w:tcW w:w="1940" w:type="dxa"/>
            <w:vAlign w:val="bottom"/>
            <w:shd w:val="clear" w:color="auto" w:fill="E6E7E8"/>
          </w:tcPr>
          <w:p>
            <w:pPr>
              <w:ind w:left="320"/>
              <w:spacing w:after="0"/>
              <w:rPr>
                <w:sz w:val="20"/>
                <w:szCs w:val="20"/>
                <w:color w:val="auto"/>
              </w:rPr>
            </w:pPr>
            <w:r>
              <w:rPr>
                <w:rFonts w:ascii="Times New Roman" w:cs="Times New Roman" w:eastAsia="Times New Roman" w:hAnsi="Times New Roman"/>
                <w:sz w:val="20"/>
                <w:szCs w:val="20"/>
                <w:color w:val="231F20"/>
              </w:rPr>
              <w:t>Other</w:t>
            </w:r>
          </w:p>
        </w:tc>
        <w:tc>
          <w:tcPr>
            <w:tcW w:w="13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w:t>
            </w:r>
          </w:p>
        </w:tc>
      </w:tr>
      <w:tr>
        <w:trPr>
          <w:trHeight w:val="266"/>
        </w:trPr>
        <w:tc>
          <w:tcPr>
            <w:tcW w:w="2000" w:type="dxa"/>
            <w:vAlign w:val="bottom"/>
          </w:tcPr>
          <w:p>
            <w:pPr>
              <w:spacing w:after="0"/>
              <w:rPr>
                <w:sz w:val="20"/>
                <w:szCs w:val="20"/>
                <w:color w:val="auto"/>
              </w:rPr>
            </w:pPr>
            <w:r>
              <w:rPr>
                <w:rFonts w:ascii="Times New Roman" w:cs="Times New Roman" w:eastAsia="Times New Roman" w:hAnsi="Times New Roman"/>
                <w:sz w:val="20"/>
                <w:szCs w:val="20"/>
                <w:color w:val="231F20"/>
              </w:rPr>
              <w:t>Healthcare</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5%</w:t>
            </w:r>
          </w:p>
        </w:tc>
        <w:tc>
          <w:tcPr>
            <w:tcW w:w="194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Employees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At December 31, 2025, we had 752 North American employees and 536 employees offshore, in addition to 200 subcontracted professionals. None of our employees are subject to collective bargaining agreements governing their employment with our Company. We employ our consultants on both an hourly and salary basis. A large portion of our salaried employees are H1-B visa holders. We believe that we enjoy a good reputation within the H1-B visa community, which allows us to access a very broad candidate pool. The majority of our hourly employees are U.S. citizens. On average, we maintain a balanced composition of salaried and hourly employees. We believe that our employee relations are good.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Intellectual Property Rights</w:t>
      </w:r>
    </w:p>
    <w:p>
      <w:pPr>
        <w:spacing w:after="0" w:line="11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Our intellectual property consists primarily of proprietary processes; client, employee and candidate information; and proprietary rights of third parties from whom we license intellectual property. We also own the intellectual property and possess deep proprietary knowledge of the frameworks and products that we have built in our Mastech InfoTrellis business. We rely upon a combination of nondisclosure and other arrangements to protect our intellectual property.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Seasonality</w:t>
      </w:r>
    </w:p>
    <w:p>
      <w:pPr>
        <w:spacing w:after="0" w:line="118"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Our consultants’ billable hours are affected by national holidays and vacation trends. Accordingly, we typically have lower utilization rates during the fourth quarter. Additionally, assignment completions tend to be higher near the end of the calendar year, which largely impact our revenue and gross profit performance during the subsequent quarter.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Competitive Position</w:t>
      </w:r>
    </w:p>
    <w:p>
      <w:pPr>
        <w:spacing w:after="0" w:line="120"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231F20"/>
        </w:rPr>
        <w:t>We operate in highly competitive and fragmented industries, with largely low barriers to entry in our IT Staffing Services segment. In our Data and Analytics Services segment, we primarily compete with Cognizant, Tata Consultancy Services, Capgemini, as well as with smaller boutique data and analytics firms. Many competitors are significantly larger and have greater financial resources in comparison to us. Our IT Staffing Services segment competes for potential clients with providers of outsourcing services, systems integrators, computer systems consultants, other staffing services firms and, to a lesser extent, temporary personnel agencies.</w:t>
      </w:r>
    </w:p>
    <w:p>
      <w:pPr>
        <w:spacing w:after="0" w:line="184"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9"/>
          <w:szCs w:val="19"/>
          <w:color w:val="231F20"/>
        </w:rPr>
        <w:t>We believe that the principal competitive factors for securing and building client relationships are driven by the ability to precisely comprehend client requirements and by providing highly qualified personnel who are motivated to meet or exceed a client’s expectations. We must be able to do this efficiently to provide speed to market with pricing that is competitive and represents value to</w:t>
      </w:r>
    </w:p>
    <w:p>
      <w:pPr>
        <w:sectPr>
          <w:pgSz w:w="11880" w:h="15480" w:orient="portrait"/>
          <w:cols w:equalWidth="0" w:num="1">
            <w:col w:w="10760"/>
          </w:cols>
          <w:pgMar w:left="540" w:top="1146" w:right="580" w:bottom="0" w:gutter="0" w:footer="0" w:header="0"/>
        </w:sect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760"/>
          </w:cols>
          <w:pgMar w:left="540" w:top="1146" w:right="580" w:bottom="0" w:gutter="0" w:footer="0" w:header="0"/>
          <w:type w:val="continuous"/>
        </w:sectPr>
      </w:pPr>
    </w:p>
    <w:bookmarkStart w:id="19" w:name="page20"/>
    <w:bookmarkEnd w:id="19"/>
    <w:p>
      <w:pPr>
        <w:ind w:right="40"/>
        <w:spacing w:after="0" w:line="252" w:lineRule="auto"/>
        <w:rPr>
          <w:sz w:val="20"/>
          <w:szCs w:val="20"/>
          <w:color w:val="auto"/>
        </w:rPr>
      </w:pPr>
      <w:r>
        <w:rPr>
          <w:rFonts w:ascii="Times New Roman" w:cs="Times New Roman" w:eastAsia="Times New Roman" w:hAnsi="Times New Roman"/>
          <w:sz w:val="20"/>
          <w:szCs w:val="20"/>
          <w:color w:val="231F20"/>
        </w:rPr>
        <w:t>our clients. The principal competitive factors in attracting qualified personnel are compensation, availability, location, quality of projects and schedule flexibility. We believe that many of the professionals included in our database may also pursue other employment opportunities. Therefore, our responsiveness to the needs of these professionals is an important factor in our ability to be successful.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Strengths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We believe our strengths compared to industry peers include: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Established client-base</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client base consists of large, medium-sized and small companies that span across multiple industry verticals. Long-standing relationships with corporate clients, blue-chip IT System Integrators and MSPs are a core component of our future growth strategy for our staffing business, while good relationships with customer influencers and C-level decision makers drives our Mastech InfoTrellis business. These relationships, exemplified by our consistently low customer attrition rate, reflect our focus and commitment to our customers.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Operational excellence</w:t>
      </w:r>
    </w:p>
    <w:p>
      <w:pPr>
        <w:spacing w:after="0" w:line="11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our Data and Analytics Services business, our global delivery model is designed to ensure operational excellence by delivering higher value to our customers on project -based Mastech InfoTrellis engagements. Projects are delivered using our proprietary SMART Implementation Methodology — a multi-phased approach based on parts of the Rational Unified Process (RUP) and Agile development methodologies.</w:t>
      </w:r>
    </w:p>
    <w:p>
      <w:pPr>
        <w:spacing w:after="0" w:line="194"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In the IT Staffing Services business, operational excellence largely relates to a firm’s ability to effectively recruit high quality talent. Our offshore recruitment operation gives us the ability to respond to clients’ staffing needs in a timely and cost-effective manner. Investments in sourcing and recruiting processes and leading technologies and recruitment tools have resulted in a highly scalable offshore recruiting model, which has delivered value to our clients.</w:t>
      </w:r>
    </w:p>
    <w:p>
      <w:pPr>
        <w:spacing w:after="0" w:line="194"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231F20"/>
        </w:rPr>
        <w:t>Additionally, we employ a human resource management model, featuring portal technology as well as immigration support services, for our widely dispersed consultant base. This model enables us to maintain attrition rates that are lower than the industry averages for our salaried workforce.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Minority-owned status</w:t>
      </w:r>
    </w:p>
    <w:p>
      <w:pPr>
        <w:spacing w:after="0" w:line="118" w:lineRule="exact"/>
        <w:rPr>
          <w:sz w:val="20"/>
          <w:szCs w:val="20"/>
          <w:color w:val="auto"/>
        </w:rPr>
      </w:pPr>
    </w:p>
    <w:p>
      <w:pPr>
        <w:ind w:right="420" w:firstLine="490"/>
        <w:spacing w:after="0" w:line="252" w:lineRule="auto"/>
        <w:rPr>
          <w:sz w:val="20"/>
          <w:szCs w:val="20"/>
          <w:color w:val="auto"/>
        </w:rPr>
      </w:pPr>
      <w:r>
        <w:rPr>
          <w:rFonts w:ascii="Times New Roman" w:cs="Times New Roman" w:eastAsia="Times New Roman" w:hAnsi="Times New Roman"/>
          <w:sz w:val="20"/>
          <w:szCs w:val="20"/>
          <w:color w:val="231F20"/>
        </w:rPr>
        <w:t>Our businesses benefit with some clients from the fact that we are a large minority-owned staffing firm. We have received multiple awards for our commitment to diversity. We have been certified as a minority-owned business by the National Minority Supplier Development Council (“NMSDC”). This certification is attractive to certain existing and potential clients in the U.S. government and public-sector segments, where project dollars are specifically earmarked for diversity spending.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Attractive financial model</w:t>
      </w:r>
    </w:p>
    <w:p>
      <w:pPr>
        <w:spacing w:after="0" w:line="118" w:lineRule="exact"/>
        <w:rPr>
          <w:sz w:val="20"/>
          <w:szCs w:val="20"/>
          <w:color w:val="auto"/>
        </w:rPr>
      </w:pPr>
    </w:p>
    <w:p>
      <w:pPr>
        <w:ind w:right="380" w:firstLine="490"/>
        <w:spacing w:after="0" w:line="249" w:lineRule="auto"/>
        <w:rPr>
          <w:sz w:val="20"/>
          <w:szCs w:val="20"/>
          <w:color w:val="auto"/>
        </w:rPr>
      </w:pPr>
      <w:r>
        <w:rPr>
          <w:rFonts w:ascii="Times New Roman" w:cs="Times New Roman" w:eastAsia="Times New Roman" w:hAnsi="Times New Roman"/>
          <w:sz w:val="20"/>
          <w:szCs w:val="20"/>
          <w:color w:val="231F20"/>
        </w:rPr>
        <w:t>We have historically enjoyed a lower operating cost structure than our industry peers due to our low cost telesales in our IT Staffing Services segment and our offshore delivery models in both of our operating segments. These business models are cost-effective and allow us to quickly adjust our cost structure to changes in our business environment. Our blue-chip client base has resulted in high quality accounts receivable and a strong and predictable cash flow conversion metric. Additionally, we have an existing credit facility to support our organic and inorganic growth aspirations.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Expertise in high-demand Digital Transformation IT skills</w:t>
      </w:r>
    </w:p>
    <w:p>
      <w:pPr>
        <w:spacing w:after="0" w:line="11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In our Data and Analytics Services segment, we have strong expertise in data management, data engineering, analytics and customer experience consulting — both in North America as well as offshore. Additionally, we have considerable industry experience by serving some of the world’s most-respected brands in financial services, manufacturing, retail and healthcare.</w:t>
      </w:r>
    </w:p>
    <w:p>
      <w:pPr>
        <w:spacing w:after="0" w:line="18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In our IT Staffing Services segment, we have substantial expertise in certain advanced technology IT skills, including: cloud, mobile, data &amp; analytics, social media, artificial intelligence/machine learning and digital learning. We also have the capacity in both of our business segments to take advantage of our technical expertise in these high demand growth areas, as we are well positioned in terms of scale, capabilities, and a blue-chip client base.</w:t>
      </w: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740"/>
          </w:cols>
          <w:pgMar w:left="540" w:top="750" w:right="60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231F20"/>
        </w:rPr>
        <w:t>Reportable Financial Segments</w:t>
      </w:r>
    </w:p>
    <w:p>
      <w:pPr>
        <w:spacing w:after="0" w:line="124"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two reportable segments in accordance with Accounting Standards Codification (“ASC”) Topic 280 “Disclosures about Segments of an Enterprise and Related Information”. Refer to Note 16 “Business Segments and Geographic Information” to our Consolidated Financial Statements included in Item 8 herein for information about our two reportable segments.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recruit IT professionals on a global basis from time to time and, therefore, must comply with the immigration laws in the countries in which we operate. As of December 31, 2025, approximately 49% of our employee workforce was working under Mastech Digital sponsored H1 -B temporary work visa. Statutory law limits the number of new H1-B petitions that may be approved in a fiscal year to enter the U.S. Legislation could be enacted limiting H1-B visa holders’ employment with staffing companies. In recent years, the vast majority of our H1-B hires were not subject to the annual quota limiting H1-B visas because they were already in the U.S. under H1-B visa status with other employers. Additionally, the U.S. Congress has considered, and may consider in the future, extensive changes to U.S. immigration laws regarding the admission of high-skilled temporary and permanent workers and increases in prevailing wage related to H1-B employees. Such changes, if enacted, may impact the types of H1-B temporary work visas that could be granted, the number of available H1-B temporary work permits, or the required prevailing wage that we are required to pay our H1-B employees, which in turn may have a negative impact on our revenues and profits.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Our headquarters are located at 1305 Cherrington Parkway, Building 210, Suite 400, Moon Township, Pennsylvania 15108, and our telephone number is (412) 787-2100. The Company’s website is </w:t>
      </w:r>
      <w:r>
        <w:rPr>
          <w:rFonts w:ascii="Times New Roman" w:cs="Times New Roman" w:eastAsia="Times New Roman" w:hAnsi="Times New Roman"/>
          <w:sz w:val="20"/>
          <w:szCs w:val="20"/>
          <w:i w:val="1"/>
          <w:iCs w:val="1"/>
          <w:color w:val="231F20"/>
        </w:rPr>
        <w:t>www.mastechdigital.com.</w:t>
      </w:r>
      <w:r>
        <w:rPr>
          <w:rFonts w:ascii="Times New Roman" w:cs="Times New Roman" w:eastAsia="Times New Roman" w:hAnsi="Times New Roman"/>
          <w:sz w:val="20"/>
          <w:szCs w:val="20"/>
          <w:color w:val="231F20"/>
        </w:rPr>
        <w:t xml:space="preserve"> Our annual reports on Form 10-K, quarterly reports on Form 10-Q, current reports on Form 8-K, and other Securities and Exchange Commission (the “SEC”) filings, including any amendments to the foregoing reports, are available free of charge by accessing the Investors page of the Company’s website as soon as reasonably practical after such reports are filed with, or furnished to, the SEC.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6" w:lineRule="exact"/>
        <w:rPr>
          <w:sz w:val="20"/>
          <w:szCs w:val="20"/>
          <w:color w:val="auto"/>
        </w:rPr>
      </w:pPr>
    </w:p>
    <w:p>
      <w:pPr>
        <w:ind w:right="160" w:firstLine="490"/>
        <w:spacing w:after="0" w:line="251" w:lineRule="auto"/>
        <w:rPr>
          <w:sz w:val="20"/>
          <w:szCs w:val="20"/>
          <w:color w:val="auto"/>
        </w:rPr>
      </w:pPr>
      <w:r>
        <w:rPr>
          <w:rFonts w:ascii="Times New Roman" w:cs="Times New Roman" w:eastAsia="Times New Roman" w:hAnsi="Times New Roman"/>
          <w:sz w:val="20"/>
          <w:szCs w:val="20"/>
          <w:i w:val="1"/>
          <w:iCs w:val="1"/>
          <w:color w:val="231F20"/>
        </w:rPr>
        <w:t>You should carefully consider each of the following risk factors and all of the other information set forth in this Annual Report on Form 10-K or incorporated by reference herein. Based on the information currently known to us, we believe that the following information identifies the most significant risk factors affecting our company. However, additional risks and uncertainties not currently known to us or that we currently believe to be immaterial may also adversely impact our business.</w:t>
      </w:r>
    </w:p>
    <w:p>
      <w:pPr>
        <w:spacing w:after="0" w:line="198" w:lineRule="exact"/>
        <w:rPr>
          <w:sz w:val="20"/>
          <w:szCs w:val="20"/>
          <w:color w:val="auto"/>
        </w:rPr>
      </w:pPr>
    </w:p>
    <w:p>
      <w:pPr>
        <w:ind w:right="260" w:firstLine="490"/>
        <w:spacing w:after="0" w:line="275" w:lineRule="auto"/>
        <w:rPr>
          <w:sz w:val="20"/>
          <w:szCs w:val="20"/>
          <w:color w:val="auto"/>
        </w:rPr>
      </w:pPr>
      <w:r>
        <w:rPr>
          <w:rFonts w:ascii="Times New Roman" w:cs="Times New Roman" w:eastAsia="Times New Roman" w:hAnsi="Times New Roman"/>
          <w:sz w:val="20"/>
          <w:szCs w:val="20"/>
          <w:i w:val="1"/>
          <w:iCs w:val="1"/>
          <w:color w:val="231F20"/>
        </w:rPr>
        <w:t>If any of the following risks and uncertainties develop into actual events, these events could have a material adverse effect on our business, financial condition 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Company’s Business and Operation</w:t>
      </w:r>
    </w:p>
    <w:p>
      <w:pPr>
        <w:spacing w:after="0" w:line="12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Lack of success in recruitment and retention of IT and data and analytics professionals may decrease our revenues, impair our ability to service clients and pursue opportunities in the market and increase the costs needed to maintain our workforce.</w:t>
      </w:r>
    </w:p>
    <w:p>
      <w:pPr>
        <w:spacing w:after="0" w:line="49"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231F20"/>
        </w:rPr>
        <w:t>Our business involves the delivery of professional services and is labor-intensive. Our success depends upon our ability to attract, develop, motivate and retain highly skilled professionals who possess the skills and experience necessary to deliver our services. Qualified IT and data and analytics professionals are in demand worldwide and are likely to remain a limited resource for the foreseeable future. There can be no assurance that these qualified professionals will be available to us in sufficient numbers, or that we will be successful in retaining current or future employees. Failure to attract and retain qualified professionals in sufficient numbers may have a material adverse effect on our business, operating results and financial condition, and could also result in us being unable to meet the demand for our services and materialize opportunities in the market. Historically, we have done much of our recruiting from outside of the country where the client work is performed. Accordingly, any perception among our IT professionals, whether or not well founded, that our ability to assist them in obtaining temporary work visa and permanent residency status has been diminished, could lead to significant employee attrition. Any significant employee attrition will increase expenses necessary to replace and retrain our professionals and could decrease our revenues if we are not able to provide sufficient numbers of these resources to our clients.</w:t>
      </w:r>
    </w:p>
    <w:p>
      <w:pPr>
        <w:spacing w:after="0" w:line="317"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have difficulty maintaining client relationships if the trend towards utilizing Managed Service Providers (“MSPs”) or setting up Global Capability Centers (GCC's) continues.</w:t>
      </w:r>
    </w:p>
    <w:p>
      <w:pPr>
        <w:spacing w:after="0" w:line="49"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Within our IT Staffing Services segment, many large users of staffing services are employing MSP’s or have started utilizing GCC's outside the United States, to manage their contractor expenses in an effort to drive down overall costs. MSP clients that have</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780"/>
          </w:cols>
          <w:pgMar w:left="540" w:top="746" w:right="560" w:bottom="0" w:gutter="0" w:footer="0" w:header="0"/>
          <w:type w:val="continuous"/>
        </w:sectPr>
      </w:pPr>
    </w:p>
    <w:bookmarkStart w:id="21" w:name="page22"/>
    <w:bookmarkEnd w:id="21"/>
    <w:p>
      <w:pPr>
        <w:ind w:right="120"/>
        <w:spacing w:after="0" w:line="258" w:lineRule="auto"/>
        <w:rPr>
          <w:sz w:val="20"/>
          <w:szCs w:val="20"/>
          <w:color w:val="auto"/>
        </w:rPr>
      </w:pPr>
      <w:r>
        <w:rPr>
          <w:rFonts w:ascii="Times New Roman" w:cs="Times New Roman" w:eastAsia="Times New Roman" w:hAnsi="Times New Roman"/>
          <w:sz w:val="20"/>
          <w:szCs w:val="20"/>
          <w:color w:val="231F20"/>
        </w:rPr>
        <w:t>their own GCC's represented approximately 30% of our IT Staffing Services Segment’s 2025 revenues. The general impact of this shift towards the MSP and GCC model has been to lower our gross margins and create delivery inefficiencies. This shift has also affected our client satisfaction and retention, resulted in a loss of business opportunities and delayed our ramp-up of GCC operations.</w:t>
      </w:r>
    </w:p>
    <w:p>
      <w:pPr>
        <w:spacing w:after="0" w:line="6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231F20"/>
        </w:rPr>
        <w:t>Should this trend towards utilizing the MSP and GCC model continue, it is likely that our gross margins will be further pressured in the future. In addition, if large users of staffing services continue to employ MSPs or set up their own GCCs, the relationship between us and those large users may be primarily conducted through MSPs and/or GCC, in which case we may have difficulty maintaining those client relationships because the MSP and GCC model uses the MSP or GCC as an intermediary between the staffing service provider and the end-user, and reduces our direct contact with the end-user.</w:t>
      </w:r>
    </w:p>
    <w:p>
      <w:pPr>
        <w:spacing w:after="0" w:line="31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dependent upon our Indian operations and there can be no assurance that our Indian operations will support our growth strategy and historical cost structure.</w:t>
      </w:r>
    </w:p>
    <w:p>
      <w:pPr>
        <w:spacing w:after="0" w:line="49"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Our Indian recruitment and delivery centers depend greatly upon business and technology transfer laws in India, and upon the continued development of technology infrastructure. There can be no assurance that our Indian operations will support our growth strategy. The risks inherent in our Indian business activities include:</w:t>
      </w:r>
    </w:p>
    <w:p>
      <w:pPr>
        <w:spacing w:after="0" w:line="83" w:lineRule="exact"/>
        <w:rPr>
          <w:sz w:val="20"/>
          <w:szCs w:val="20"/>
          <w:color w:val="auto"/>
        </w:rPr>
      </w:pPr>
    </w:p>
    <w:p>
      <w:pPr>
        <w:ind w:left="840" w:hanging="350"/>
        <w:spacing w:after="0"/>
        <w:tabs>
          <w:tab w:leader="none" w:pos="84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unexpected changes in regulatory environments;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foreign currency fluctuations;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tariffs and other trade barriers;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in managing international operations;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the burden of complying with a wide variety of foreign laws and regulations.</w:t>
      </w:r>
    </w:p>
    <w:p>
      <w:pPr>
        <w:spacing w:after="0" w:line="23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Our failure to manage growth or attract and retain personnel, or a significant interruption in our ability to transmit data and voice efficiently, could have a material adverse impact on our ability to successfully maintain and develop our global recruitment and delivery centers and could have a material adverse effect on our business, operating results and financial condition.</w:t>
      </w:r>
    </w:p>
    <w:p>
      <w:pPr>
        <w:spacing w:after="0" w:line="18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Indian rupee may increase in value relative to the dollar, increasing our costs. Although, we receive the vast majority of our revenues in U.S. dollars, we maintain a significant portion of our recruiting and delivery workforces in India, and those employees are paid in rupees. Therefore, any increase in the value of the rupee versus the dollar would increase our expenses, which could have a material adverse effect on our business, operating results and financial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quarterly operating results may be subject to significant variations.</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Our revenues and operating results have historically been subject to significant variations from quarter to quarter depending on a number of factors, including the timing and number of client projects commenced and completed during the quarter, our client's evaluation of our work progress, the availability and / rescheduling of our client's allocation budgets, the number of working days in a quarter, employee hiring and attrition, and utilization rates during the quarter.</w:t>
      </w:r>
    </w:p>
    <w:p>
      <w:pPr>
        <w:spacing w:after="0" w:line="314"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multi-year Center of Excellence service offering may be early terminated on short notice from the client, which could materially and adversely affect our business, backlog and future revenues.</w:t>
      </w:r>
    </w:p>
    <w:p>
      <w:pPr>
        <w:spacing w:after="0" w:line="49"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31F20"/>
        </w:rPr>
        <w:t>Our Data and Analytics Services segment markets a multi-year service offering known as a Center of Excellence. This service provides our clients with a virtual extension of their internal team to assist with their data and analytics business strategies and objectives. These engagements are generally multi-year and provide added flexibility to the client by adjusting dedicated readily-available and appropriately skilled resources on an as needed basis. While these engagements provide opportunities to partner with and deeply understand a client’s data management and analytics longer-term objectives, these contracts generally can be early terminated by the client with a short-term notice. Should a client terminate an engagement early, this termination could materially impact our backlog of orders and adversely affect our business and future revenues.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800"/>
          </w:cols>
          <w:pgMar w:left="540" w:top="750" w:right="540" w:bottom="0" w:gutter="0" w:footer="0" w:header="0"/>
          <w:type w:val="continuous"/>
        </w:sectPr>
      </w:pPr>
    </w:p>
    <w:bookmarkStart w:id="22" w:name="page23"/>
    <w:bookmarkEnd w:id="22"/>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strategy of expansion through the acquisition of additional companies may not be successful and may result in slower growth of our business and reduced operating margins.</w:t>
      </w:r>
    </w:p>
    <w:p>
      <w:pPr>
        <w:spacing w:after="0" w:line="49"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We plan to gradually expand our operations through the acquisition of, or investment in, additional businesses and companies. We may be unable to identify businesses that complement our strategy for growth. If we do succeed in identifying a company with such a business, we may not be able to acquire the company, its relevant business or an interest in the company for many reasons, including:</w:t>
      </w:r>
    </w:p>
    <w:p>
      <w:pPr>
        <w:spacing w:after="0" w:line="88" w:lineRule="exact"/>
        <w:rPr>
          <w:sz w:val="20"/>
          <w:szCs w:val="20"/>
          <w:color w:val="auto"/>
        </w:rPr>
      </w:pPr>
    </w:p>
    <w:p>
      <w:pPr>
        <w:ind w:left="840" w:hanging="350"/>
        <w:spacing w:after="0"/>
        <w:tabs>
          <w:tab w:leader="none" w:pos="84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a failure to agree on the terms of the acquisition or investment;</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incompatibility between us and the management of the company that we wish to acquire or invest;</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from other potential acquirers;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a lack of capital to make the acquisition or investment; or</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the unwillingness of the company to partner with us.</w:t>
      </w:r>
    </w:p>
    <w:p>
      <w:pPr>
        <w:spacing w:after="0" w:line="239"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31F20"/>
        </w:rPr>
        <w:t>If we are unable to acquire and invest in attractive businesses, our strategy for growth may be impaired. Even if we are able to complete one or more acquisitions, there can be no assurance that those completed acquisitions will result in successful growth, and the costs of completing an acquisition may reduce our margins.</w:t>
      </w:r>
    </w:p>
    <w:p>
      <w:pPr>
        <w:spacing w:after="0" w:line="308"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We may in the future complete, acquisitions that could require significant management attention, disrupt our existing business, result in dilution to our shareholders, deplete our cash reserves, increase our debt levels and adversely affect our financial results.</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Acquisitions involve numerous risks, including the possibility that:</w:t>
      </w:r>
    </w:p>
    <w:p>
      <w:pPr>
        <w:spacing w:after="0" w:line="134" w:lineRule="exact"/>
        <w:rPr>
          <w:sz w:val="20"/>
          <w:szCs w:val="20"/>
          <w:color w:val="auto"/>
        </w:rPr>
      </w:pPr>
    </w:p>
    <w:p>
      <w:pPr>
        <w:ind w:left="840" w:right="320" w:hanging="350"/>
        <w:spacing w:after="0" w:line="276" w:lineRule="auto"/>
        <w:tabs>
          <w:tab w:leader="none" w:pos="84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do not successfully integrate the operations, systems, technologies, products, offerings and personnel of the acquired company or companies;</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do not generate sufficient revenues to offset increased expenses associated with our acquisitions;</w:t>
      </w:r>
    </w:p>
    <w:p>
      <w:pPr>
        <w:spacing w:after="0" w:line="133" w:lineRule="exact"/>
        <w:rPr>
          <w:rFonts w:ascii="Arial" w:cs="Arial" w:eastAsia="Arial" w:hAnsi="Arial"/>
          <w:sz w:val="20"/>
          <w:szCs w:val="20"/>
          <w:color w:val="231F20"/>
        </w:rPr>
      </w:pPr>
    </w:p>
    <w:p>
      <w:pPr>
        <w:ind w:left="840" w:right="380" w:hanging="350"/>
        <w:spacing w:after="0" w:line="276" w:lineRule="auto"/>
        <w:tabs>
          <w:tab w:leader="none" w:pos="84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management’s attention is diverted from normal daily operations of our business and the challenges with managing larger and more widespread operations resulting from our acquisitions;</w:t>
      </w:r>
    </w:p>
    <w:p>
      <w:pPr>
        <w:spacing w:after="0" w:line="64" w:lineRule="exact"/>
        <w:rPr>
          <w:rFonts w:ascii="Arial" w:cs="Arial" w:eastAsia="Arial" w:hAnsi="Arial"/>
          <w:sz w:val="20"/>
          <w:szCs w:val="20"/>
          <w:color w:val="231F20"/>
        </w:rPr>
      </w:pPr>
    </w:p>
    <w:p>
      <w:pPr>
        <w:ind w:left="840" w:hanging="350"/>
        <w:spacing w:after="0" w:line="276" w:lineRule="auto"/>
        <w:tabs>
          <w:tab w:leader="none" w:pos="84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experience difficulties entering markets in which we have no or limited direct prior experience and where competitors in such markets have stronger market positions; and</w:t>
      </w:r>
    </w:p>
    <w:p>
      <w:pPr>
        <w:spacing w:after="0" w:line="64" w:lineRule="exact"/>
        <w:rPr>
          <w:rFonts w:ascii="Arial" w:cs="Arial" w:eastAsia="Arial" w:hAnsi="Arial"/>
          <w:sz w:val="20"/>
          <w:szCs w:val="20"/>
          <w:color w:val="231F20"/>
        </w:rPr>
      </w:pPr>
    </w:p>
    <w:p>
      <w:pPr>
        <w:ind w:left="840" w:right="40" w:hanging="350"/>
        <w:spacing w:after="0" w:line="276" w:lineRule="auto"/>
        <w:tabs>
          <w:tab w:leader="none" w:pos="84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lose key employees, customers, distributors, vendors and other business partners of the companies we acquire following and continuing after announcement of acquisition plans.</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In addition to the foregoing, acquisitions may also cause us to:</w:t>
      </w:r>
    </w:p>
    <w:p>
      <w:pPr>
        <w:spacing w:after="0" w:line="134" w:lineRule="exact"/>
        <w:rPr>
          <w:sz w:val="20"/>
          <w:szCs w:val="20"/>
          <w:color w:val="auto"/>
        </w:rPr>
      </w:pPr>
    </w:p>
    <w:p>
      <w:pPr>
        <w:ind w:left="840" w:hanging="350"/>
        <w:spacing w:after="0"/>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use a substantial portion of our cash reserves or incur debt;</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issue equity securities or grant equity incentives that dilute our current shareholders’ percentage ownership;</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assume liabilities, including potentially unknown liabilities;</w:t>
      </w:r>
    </w:p>
    <w:p>
      <w:pPr>
        <w:spacing w:after="0" w:line="133" w:lineRule="exact"/>
        <w:rPr>
          <w:rFonts w:ascii="Arial" w:cs="Arial" w:eastAsia="Arial" w:hAnsi="Arial"/>
          <w:sz w:val="20"/>
          <w:szCs w:val="20"/>
          <w:color w:val="231F20"/>
        </w:rPr>
      </w:pPr>
    </w:p>
    <w:p>
      <w:pPr>
        <w:ind w:left="840" w:right="400" w:hanging="350"/>
        <w:spacing w:after="0" w:line="276" w:lineRule="auto"/>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record goodwill and amortizable intangible assets that are subject to impairment testing on a regular basis and potential periodic impairment charges could occur;</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incur amortization expenses related to certain intangible assets;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incur large and immediate write-offs and restructuring and other related expenses;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become subject to intellectual property litigation or other litigation.</w:t>
      </w:r>
    </w:p>
    <w:p>
      <w:pPr>
        <w:spacing w:after="0" w:line="239"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Acquisitions of technology companies and assets are inherently risky and subject to many factors outside of our control, and no assurance can be given that our prior or future acquisitions will be successful and will not materially adversely affect our business, operating results, or financial condition. Failure to manage and successfully integrate acquisitions could materially harm our business and operating results.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780"/>
          </w:cols>
          <w:pgMar w:left="540" w:top="750" w:right="5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231F20"/>
        </w:rPr>
        <w:t>Our revenues are highly concentrated, and the loss of a significant client would adversely affect our business and revenues.</w:t>
      </w:r>
    </w:p>
    <w:p>
      <w:pPr>
        <w:spacing w:after="0" w:line="12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31F20"/>
        </w:rPr>
        <w:t>Our revenues are highly dependent on clients located in North America, as well as clients concentrated in certain industries. Economic slowdowns, changes in law and other restrictions or factors that affect the economic health of these industries may affect our business. For the year ended December 31, 2025, approximately 58% of our revenues were derived from our top ten clients and approximately 54% of revenues came from financial services clients. Consequently, if our clients reduce or postpone their spending significantly, this may lower the demand for our services, cause operational disruptions and workforce underutilization, impact delivery efficiency, reduce our pricing leverage and bargaining power in future engagements and create negative investor perception. A reduction or postponement in spending by our clients may also reduce our ability to invest in growth and innovation, impact our long-term market relevance and negatively affect our revenues and profitability. Further, any significant decrease in the rate of economic growth may reduce the demand for our services and negatively affect our revenues and profitability.</w:t>
      </w:r>
    </w:p>
    <w:p>
      <w:pPr>
        <w:spacing w:after="0" w:line="206"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We have in the past, and may in the future, derive a significant portion of our revenues from a relatively limited number of clients. These contracts are terminable without penalty, as are most of our contracts. The loss of any significant client or major project, or an unanticipated termination of a major project, could result in the loss of substantial anticipated revenues.</w:t>
      </w:r>
    </w:p>
    <w:p>
      <w:pPr>
        <w:spacing w:after="0" w:line="30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leverage could materially and adversely affect our financial condition or operating flexibility and prevent us from fulfilling our obligations under our Credit Agreement.</w:t>
      </w:r>
    </w:p>
    <w:p>
      <w:pPr>
        <w:spacing w:after="0" w:line="49"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At December 31, 2025, we had no outstanding borrowings under our Credit Agreement with PNC Bank and certain other lenders (the “Credit Agreement”) and unused borrowing capacity of $19.9 million under the revolving credit facility established by the Credit Agreement. Our level of indebtedness (which may increase) could have important consequences on our future operations, including the following:</w:t>
      </w:r>
    </w:p>
    <w:p>
      <w:pPr>
        <w:spacing w:after="0" w:line="88" w:lineRule="exact"/>
        <w:rPr>
          <w:sz w:val="20"/>
          <w:szCs w:val="20"/>
          <w:color w:val="auto"/>
        </w:rPr>
      </w:pPr>
    </w:p>
    <w:p>
      <w:pPr>
        <w:ind w:left="840" w:right="140" w:hanging="350"/>
        <w:spacing w:after="0" w:line="276" w:lineRule="auto"/>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increasing the risk that we cannot satisfy our payment or other obligations under our outstanding debt, which may result in defaults;</w:t>
      </w:r>
    </w:p>
    <w:p>
      <w:pPr>
        <w:spacing w:after="0" w:line="64" w:lineRule="exact"/>
        <w:rPr>
          <w:rFonts w:ascii="Arial" w:cs="Arial" w:eastAsia="Arial" w:hAnsi="Arial"/>
          <w:sz w:val="20"/>
          <w:szCs w:val="20"/>
          <w:color w:val="231F20"/>
        </w:rPr>
      </w:pPr>
    </w:p>
    <w:p>
      <w:pPr>
        <w:ind w:left="840" w:right="120" w:hanging="350"/>
        <w:spacing w:after="0" w:line="276" w:lineRule="auto"/>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subjecting us to increased sensitivity to interest rate increases on our outstanding indebtedness, which could cause our debt service obligations to increase significantly;</w:t>
      </w:r>
    </w:p>
    <w:p>
      <w:pPr>
        <w:spacing w:after="0" w:line="64" w:lineRule="exact"/>
        <w:rPr>
          <w:rFonts w:ascii="Arial" w:cs="Arial" w:eastAsia="Arial" w:hAnsi="Arial"/>
          <w:sz w:val="20"/>
          <w:szCs w:val="20"/>
          <w:color w:val="231F20"/>
        </w:rPr>
      </w:pPr>
    </w:p>
    <w:p>
      <w:pPr>
        <w:ind w:left="840" w:right="460" w:hanging="350"/>
        <w:spacing w:after="0" w:line="276" w:lineRule="auto"/>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reducing the availability of our cash flows to fund working capital, capital expenditures, acquisitions and other general corporate purposes, and limiting our ability to obtain additional financing for these purposes;</w:t>
      </w:r>
    </w:p>
    <w:p>
      <w:pPr>
        <w:spacing w:after="0" w:line="64" w:lineRule="exact"/>
        <w:rPr>
          <w:rFonts w:ascii="Arial" w:cs="Arial" w:eastAsia="Arial" w:hAnsi="Arial"/>
          <w:sz w:val="20"/>
          <w:szCs w:val="20"/>
          <w:color w:val="231F20"/>
        </w:rPr>
      </w:pPr>
    </w:p>
    <w:p>
      <w:pPr>
        <w:ind w:left="840" w:right="560" w:hanging="350"/>
        <w:spacing w:after="0" w:line="276" w:lineRule="auto"/>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limiting our flexibility in planning for, or reacting to, and increasing our vulnerability to, changes in our business, the industry in which we operate and general economic conditions;</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placing us at a competitive disadvantage to our competitors that have less debt or are less leveraged;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increasing our vulnerability to the impact of adverse economic and industry conditions;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limiting our ability to execute on our existing share repurchase program.</w:t>
      </w:r>
    </w:p>
    <w:p>
      <w:pPr>
        <w:spacing w:after="0" w:line="239"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In addition, we may incur additional indebtedness in the future and, if we incur new debt or other liabilities, the related risks that we face could intensify.</w:t>
      </w:r>
    </w:p>
    <w:p>
      <w:pPr>
        <w:spacing w:after="0" w:line="16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Our ability to make required payments or to refinance our indebtedness depends on our future performance, which will be affected by financial, business and economic conditions and other factors, many of which are not within our control.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and other factors may restrict us from pursuing any of these alternatives.</w:t>
      </w:r>
    </w:p>
    <w:p>
      <w:pPr>
        <w:spacing w:after="0" w:line="200"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If we are in default under the Credit Agreement due to our inability to make the required payments, or if we otherwise fail to comply with the financial and other covenants contained therein, all of our debt thereunder could be accelerated and the lenders under our Credit Agreement could be permitted to foreclose on our assets securing such debt.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800"/>
          </w:cols>
          <w:pgMar w:left="540" w:top="750" w:right="54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231F20"/>
        </w:rPr>
        <w:t>The covenants in our Credit Agreement impose restrictions that may limit our operating and financial flexibility.</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The Credit Agreement contains financial covenants, including but not limited to, covenants related to the Company’s senior leverage ratio and fixed charge ratio (as defined under the Credit Agreement), and limitations on liens, indebtedness, guarantees and contingent liabilities, loans and investments, distributions, leases, asset sales, stock repurchases and mergers and acquisitions. These covenants and limitations may limit our ability to, among other things:</w:t>
      </w:r>
    </w:p>
    <w:p>
      <w:pPr>
        <w:spacing w:after="0" w:line="88" w:lineRule="exact"/>
        <w:rPr>
          <w:sz w:val="20"/>
          <w:szCs w:val="20"/>
          <w:color w:val="auto"/>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create, incur or assume liens;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make investments and loans;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create, incur, assume or guarantee additional indebtedness;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engage in mergers, acquisitions, consolidations, sale-leasebacks and other similar transactions;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pay dividends, or redeem or repurchase our capital stock;</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alter the business that we conduct;</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engage in certain transactions with officers, directors and affiliates;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prepay, redeem or purchase other indebtedness;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enter into certain agreements;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make material changes to accounting and reporting practices.</w:t>
      </w:r>
    </w:p>
    <w:p>
      <w:pPr>
        <w:spacing w:after="0" w:line="239"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231F20"/>
        </w:rPr>
        <w:t>Operating results below current levels or other adverse factors, including increases in interest rates, could result in us being unable to comply with certain covenants contained in our Credit Agreement. If we violate these covenants and are unable to obtain waivers, our debt under the Credit Agreement would be in default, could be accelerated and could permit our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operating results,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30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must keep pace with the rapid technological changes that characterize the IT and data and analytics industries and our failure to do so could result in lower demand for services.</w:t>
      </w:r>
    </w:p>
    <w:p>
      <w:pPr>
        <w:spacing w:after="0" w:line="4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The IT staffing and data analytics services industries are characterized by rapid technological change, evolving industry standards, changing client preferences and new product introductions. Our success will depend in part on our ability to keep pace with industry developments. There can be no assurance that we will be successful in addressing these developments on a timely basis or that, if these developments are addressed, we will be successful in the marketplace. In addition, there can be no assurance that products or technologies developed by others will not render our services noncompetitive or obsolete. Our failure to address these developments could have a material adverse effect on our business, operating results and financial condition.</w:t>
      </w:r>
    </w:p>
    <w:p>
      <w:pPr>
        <w:spacing w:after="0" w:line="20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A significant number of organizations are choosing to migrate their IT business applications to advanced technologies, such as artificial intelligence, cloud services, data science-based solution, mobility, and social analytics. As a result, our ability to remain competitive depends on several factors, including our ability to develop, train and hire employees with skills in advanced technologies. Our failure to hire, train and retain employees with such skills could have a material adverse impact on our future revenues.</w:t>
      </w:r>
    </w:p>
    <w:p>
      <w:pPr>
        <w:spacing w:after="0" w:line="3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Client’s “preferred vendor” contracts generally result in lower margins. In addition, we may not be able to maintain “preferred vendor” status with existing clients or obtain that status with new clients, which may lead to a decrease in the volume of business we obtain from these clients.</w:t>
      </w:r>
    </w:p>
    <w:p>
      <w:pPr>
        <w:spacing w:after="0" w:line="68" w:lineRule="exact"/>
        <w:rPr>
          <w:sz w:val="20"/>
          <w:szCs w:val="20"/>
          <w:color w:val="auto"/>
        </w:rPr>
      </w:pPr>
    </w:p>
    <w:p>
      <w:pPr>
        <w:ind w:right="80" w:firstLine="490"/>
        <w:spacing w:after="0" w:line="265" w:lineRule="auto"/>
        <w:rPr>
          <w:sz w:val="20"/>
          <w:szCs w:val="20"/>
          <w:color w:val="auto"/>
        </w:rPr>
      </w:pPr>
      <w:r>
        <w:rPr>
          <w:rFonts w:ascii="Times New Roman" w:cs="Times New Roman" w:eastAsia="Times New Roman" w:hAnsi="Times New Roman"/>
          <w:sz w:val="19"/>
          <w:szCs w:val="19"/>
          <w:color w:val="231F20"/>
        </w:rPr>
        <w:t>In our IT Staffing Services segment, we are party to several “preferred vendor” contracts, and we are seeking additional similar contracts in order to obtain new or additional business from large and medium-sized clients. Clients enter into these contracts to reduce their number of vendors and obtain better pricing in return for a potential increase in the volume of business to the preferred vendor. While these contracts are expected to generate higher volumes, they generally carry lower margins. Although we attempt to lower costs to maintain margins, there can be no assurance that we will be able to sustain margins on such contracts. In addition, the</w:t>
      </w:r>
    </w:p>
    <w:p>
      <w:pPr>
        <w:sectPr>
          <w:pgSz w:w="11880" w:h="15480" w:orient="portrait"/>
          <w:cols w:equalWidth="0" w:num="1">
            <w:col w:w="10760"/>
          </w:cols>
          <w:pgMar w:left="540" w:top="1340" w:right="580" w:bottom="0" w:gutter="0" w:footer="0" w:header="0"/>
        </w:sect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760"/>
          </w:cols>
          <w:pgMar w:left="540" w:top="1340" w:right="580" w:bottom="0" w:gutter="0" w:footer="0" w:header="0"/>
          <w:type w:val="continuous"/>
        </w:sectPr>
      </w:pPr>
    </w:p>
    <w:bookmarkStart w:id="25" w:name="page26"/>
    <w:bookmarkEnd w:id="25"/>
    <w:p>
      <w:pPr>
        <w:ind w:right="160"/>
        <w:spacing w:after="0" w:line="258" w:lineRule="auto"/>
        <w:rPr>
          <w:sz w:val="20"/>
          <w:szCs w:val="20"/>
          <w:color w:val="auto"/>
        </w:rPr>
      </w:pPr>
      <w:r>
        <w:rPr>
          <w:rFonts w:ascii="Times New Roman" w:cs="Times New Roman" w:eastAsia="Times New Roman" w:hAnsi="Times New Roman"/>
          <w:sz w:val="20"/>
          <w:szCs w:val="20"/>
          <w:color w:val="231F20"/>
        </w:rPr>
        <w:t>failure to be designated as a preferred vendor, or the loss of such status, may preclude us from providing services to existing or potential clients, except as a subcontractor, which could have a material adverse effect on the volume of business obtained from such clients.</w:t>
      </w:r>
    </w:p>
    <w:p>
      <w:pPr>
        <w:spacing w:after="0" w:line="30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success depends upon the maintenance and protection of our intellectual property rights and processes, and any substantial costs incurred protecting such rights and processes may decrease our operating margins.</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Our success depends in part upon certain methodologies and tools we use in designing, developing and implementing application systems and other proprietary intellectual property rights. We rely upon a combination of nondisclosure and other contractual arrangements and trade secrets, copyright and trademark laws to protect our proprietary rights and the proprietary rights of third parties from whom we license intellectual property. We enter into confidentiality agreements with our employees and limit distribution of proprietary information. There can be no assurance that the steps we take in this regard will be adequate to deter misappropriation of proprietary information or that we will be able to detect unauthorized use and take appropriate steps to enforce our intellectual property rights. In the event of an unfavorable resolution of a dispute over our intellectual property rights, we may incur substantial costs or liabilities, which would decrease our operating margins.</w:t>
      </w:r>
    </w:p>
    <w:p>
      <w:pPr>
        <w:spacing w:after="0" w:line="322"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Existing and potential customers may consider outsourcing their IT requirements to foreign countries, which could have an adverse effect on our ability to obtain new customers or retain existing customers.</w:t>
      </w:r>
    </w:p>
    <w:p>
      <w:pPr>
        <w:spacing w:after="0" w:line="49"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Certain of our existing and potential customers have started to use low-cost offshore outsourcing centers to perform technology-related work. Should this shift towards moving technology-related work to offshore outsourcing centers continue, our business, operating results and financial condition could be adversely affected.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liability to clients arising from our engagements.</w:t>
      </w:r>
    </w:p>
    <w:p>
      <w:pPr>
        <w:spacing w:after="0" w:line="120"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Many of our engagements involve projects that are critical to the operations of our clients’ businesses and provide benefits that may be difficult to quantify. Although we attempt to contractually limit our liability for damages arising from errors, mistakes, omissions or negligent acts in rendering our services, there can be no assurance that our attempts to limit liability will be successful. Our failure or inability to meet a client’s expectations in the performance of our services could result in a material adverse change to the client’s operations and, therefore, could give rise to claims against us or damage our reputation, adversely affecting our business, operating results and financial condition.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face data protection, data security, and privacy risks in connection with privacy regulation.</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Strict data privacy laws regulating the collection, transmission, storage and use of employee data and consumers’ personally identifying information are evolving in the U.S, India and other jurisdictions in which we operate. These laws impose compliance obligations for the collection, use, retention, security, processing, transfer and deletion of personally identifiable information of individuals and creates enhanced rights for individuals. These changes in the legal and regulatory environments in the areas of customer and employee privacy, data security, and cross-border data flows could have a material adverse effect on our business, primarily through the impairment of our marketing and transaction processing activities, the limitation on the types of information that we may collect, process and retain, the resulting costs of complying with such legal and regulatory requirements and potential monetary forfeitures and penalties for noncompliance.</w:t>
      </w:r>
    </w:p>
    <w:p>
      <w:pPr>
        <w:spacing w:after="0" w:line="32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Security breaches and other disruptions could compromise our information and expose us to liability, which would cause our business and reputation to suffer.</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 and on our networks. The secure processing, maintenance and transmission of this information is critical to our operations and business strategy. Our hybrid work-from -home business model may heighten risks of security breaches. While we have implemented security measures to address risks of security breaches and adopted certain network strengthening measures, our information technology and infrastructure may still be vulnerable to security breaches and other disruptions, including attacks by hackers, or breaches due to employee error, malfeasance or other disruptions. Any such breach or disruption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disrupt our operations and the services we provide to customers, damage our reputation, and cause a loss of confidence in our services, which could adversely affect our operating results and competitive position.</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800"/>
          </w:cols>
          <w:pgMar w:left="540" w:top="750" w:right="540" w:bottom="0" w:gutter="0" w:footer="0" w:header="0"/>
          <w:type w:val="continuous"/>
        </w:sectPr>
      </w:pPr>
    </w:p>
    <w:bookmarkStart w:id="26" w:name="page27"/>
    <w:bookmarkEnd w:id="26"/>
    <w:p>
      <w:pPr>
        <w:ind w:right="760"/>
        <w:spacing w:after="0" w:line="277" w:lineRule="auto"/>
        <w:rPr>
          <w:sz w:val="20"/>
          <w:szCs w:val="20"/>
          <w:color w:val="auto"/>
        </w:rPr>
      </w:pPr>
      <w:r>
        <w:rPr>
          <w:rFonts w:ascii="Times New Roman" w:cs="Times New Roman" w:eastAsia="Times New Roman" w:hAnsi="Times New Roman"/>
          <w:sz w:val="20"/>
          <w:szCs w:val="20"/>
          <w:color w:val="231F20"/>
        </w:rPr>
        <w:t>We maintain cyber risk insurance, but this insurance may not be sufficient to cover all of our losses from any breaches of our networks.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depend on the proper functioning of our information systems.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information systems may not perform as expected and are vulnerable to damage or interruption including natural disasters, fire or casualty theft, technical failures, terrorist acts, cybersecurity breaches, power outages, telecommunications failures, physical or software intrusions, computer viruses, employee errors or other events. Failure or interruption of our critical information systems may require significant additional capital and management resources to resolve, which could have a material adverse effect on our business. Additionally, many of our information technology systems and networks are cloud-based or managed by third parties, whose future performance and reliability we cannot control. The risk of a cyber- attack or security breach on a third party carries the same risks to us as those associated with our internal systems. There can be no assurance that such parties will not experience cybersecurity breaches that could adversely affect our employees, customers and businesses or that our audit or diligence processes will successfully deter or prevent such breach.</w:t>
      </w:r>
    </w:p>
    <w:p>
      <w:pPr>
        <w:spacing w:after="0" w:line="32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clients are subjected to cyber-attacks or data security breaches, it may result in damage to our business and the disclosure of our confidential information.</w:t>
      </w:r>
    </w:p>
    <w:p>
      <w:pPr>
        <w:spacing w:after="0" w:line="4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In addition to cybersecurity threats posed directly against us, our clients’ information systems are also vulnerable to an increasing threat of continually evolving cybersecurity risks. There is no guarantee that our clients have implemented procedures that are adequate to safeguard against all data security breaches. The failure of our clients to adequately safeguard against data security breaches could have a material adverse effect on our business and operations. The theft and/or breach of our clients’ data security could cause the disclosure and/or loss of our confidential information and data and result in significant costs. In addition, any cybersecurity damage to the networks or computer systems used by us or our clients could result in a claim for substantial damages against us and significant reputational harm, regardless of our responsibility for the failure.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our insurance costs increase significantly, these incremental costs could negatively affect our financial results.</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We purchase various insurance policies to limit or transfer certain risks inherent in our operations. These costs largely relate to obtaining and maintaining professional and general liability insurance policies. If the costs of carrying these insurance policies increase significantly, due to poor claims history or changes in market conditions, this could have an adverse impact on our profitability and financial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have adequate insurance for potential liabilities, including liabilities arising from litigation.</w:t>
      </w:r>
    </w:p>
    <w:p>
      <w:pPr>
        <w:spacing w:after="0" w:line="120" w:lineRule="exact"/>
        <w:rPr>
          <w:sz w:val="20"/>
          <w:szCs w:val="20"/>
          <w:color w:val="auto"/>
        </w:rPr>
      </w:pPr>
    </w:p>
    <w:p>
      <w:pPr>
        <w:ind w:right="240" w:firstLine="490"/>
        <w:spacing w:after="0" w:line="244" w:lineRule="auto"/>
        <w:rPr>
          <w:sz w:val="20"/>
          <w:szCs w:val="20"/>
          <w:color w:val="auto"/>
        </w:rPr>
      </w:pPr>
      <w:r>
        <w:rPr>
          <w:rFonts w:ascii="Times New Roman" w:cs="Times New Roman" w:eastAsia="Times New Roman" w:hAnsi="Times New Roman"/>
          <w:sz w:val="20"/>
          <w:szCs w:val="20"/>
          <w:color w:val="231F20"/>
        </w:rPr>
        <w:t>We are exposed to various possible claims relating to our business. In the ordinary course of business, we have, and in the future, may become the subject of various claims, lawsuits, and administrative proceedings seeking damages or other remedies concerning our operations, products, services, employees and other matters. Some of these claims may relate to the activities of businesses that we have acquired, even though these activities may have occurred prior to our acquisition of such businesses. While we maintain insurance to cover certain of our potential losses, we cannot ensure that our insurance will cover all claims or that insurance coverage will be available at economically acceptable rates. Our ability to obtain insurance, and the coverage levels, deductibles and premiums of our insurance, are all dependent on market factors, our loss history and our insurers’ perception of our overall risk profile. Our insurance may also require us to meet a deductible. Significant uninsured liabilities could have a material adverse effect on our business, financial condition and results of operations.</w:t>
      </w:r>
    </w:p>
    <w:p>
      <w:pPr>
        <w:spacing w:after="0" w:line="32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inability to successfully recover should we experience a disaster or other business continuity problem could cause material financial loss, loss of human capital, regulatory actions, reputational harm or legal liability.</w:t>
      </w:r>
    </w:p>
    <w:p>
      <w:pPr>
        <w:spacing w:after="0" w:line="4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Should we experience a disaster or other business continuity problem, such as an earthquake, hurricane, terrorist attack, pandemic, security breach, power loss, telecommunications failure or other natural or man-made disaster, our continued success will depend, in part, on the availability of our personnel, our office facilities, and the proper functioning of our computer, telecommunication and other related systems and operations. In such an event, we could experience near-term operational challenges with regard to particular areas of our operations. In particular, our ability to recover from any disaster, pandemic or other business continuity problem will depend on our ability to protect our technology infrastructure against damage from business continuity events that could have a significant disruptive effect on our operations. We could potentially lose client data or experience material adverse interruptions to our operations or delivery of services to our clients in a disaster. A disaster or pandemic, on a significant scale or affecting certain of our key operating areas within or across regions, or our inability to successfully recover should we experience a disaster, pandemic or other business continuity problem, could materially interrupt our business operations and cause material</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780"/>
          </w:cols>
          <w:pgMar w:left="540" w:top="750" w:right="560" w:bottom="0" w:gutter="0" w:footer="0" w:header="0"/>
          <w:type w:val="continuous"/>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20"/>
          <w:szCs w:val="20"/>
          <w:color w:val="231F20"/>
        </w:rPr>
        <w:t>financial loss, loss of human capital, regulatory actions, reputational harm, damaged client relationships or legal liability. For example, the COVID-19 pandemic and governmental actions taken to curtail the spread of the virus had an impact on our employees, customers and third-party providers and impacted the level of economic activity. Any such disaster or other business continuity problem could have a material adverse impact on our revenues and profitability.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Risks posed by climate change may materially increase our compliance costs and adversely impact our profitability.</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Climate change vulnerability is posing new threats and opportunities in the global economy. Climate change and measures adopted to address it can affect us, our clients and suppliers in myriad ways, depending on the nature and location of the businesses, the near-term capital expenditure needs, the regulatory environments where they operate and their strategic plans. Generally, climate risks and opportunities for companies and their investors fall into four categories:</w:t>
      </w:r>
    </w:p>
    <w:p>
      <w:pPr>
        <w:spacing w:after="0" w:line="88" w:lineRule="exact"/>
        <w:rPr>
          <w:sz w:val="20"/>
          <w:szCs w:val="20"/>
          <w:color w:val="auto"/>
        </w:rPr>
      </w:pPr>
    </w:p>
    <w:p>
      <w:pPr>
        <w:ind w:left="840" w:hanging="350"/>
        <w:spacing w:after="0"/>
        <w:tabs>
          <w:tab w:leader="none" w:pos="84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Physical risk from climate change;</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risks and opportunities related to existing or proposed greenhouse gas (“GHG”) emissions limits;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Indirect regulatory risks and opportunities related to products or services from high emitting companies;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Litigation risks for emitters of greenhouse gases.</w:t>
      </w:r>
    </w:p>
    <w:p>
      <w:pPr>
        <w:spacing w:after="0" w:line="23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Unmitigated climate change is likely to have severe physical impacts on companies with exposed assets or business operations, including Mastech Digital. Major environmental risks and liabilities can significantly impact future earnings. To the extent we are unable to comply with applicable regulations related to climate change, and such failure to comply results in material increases in compliance costs or litigation expenses, those costs or expenses will have an adverse effect on our profitability.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success depends upon retaining the services of our management team and key operating employees.</w:t>
      </w:r>
    </w:p>
    <w:p>
      <w:pPr>
        <w:spacing w:after="0" w:line="12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31F20"/>
        </w:rPr>
        <w:t>Our success is dependent in large part, on our ability to attract and develop future leaders, and keep our senior leadership and key operating employees motivated and aligned with our strategic vision. We must also continue to maintain a senior leadership that, among other things, is effective in executing on our strategic goals and materializing opportunities to grow our service capabilities. The loss of senior executives, or the failure to attract, integrate and retain new senior executives to meet the needs of our business , could have a material adverse effect on our business and results of operations. To attract and retain executives and other key employees in a competitive marketplace, we must provide a competitive compensation package, including cash-based and equity-based compensation. The loss or any sustained attrition of our key operating employees, or the failure to effectively integrate new members of our management team or key operating employees, could have a material adverse effect on our business, including our ability to establish and maintain client, consultant and candidate, professional and technical relationships.</w:t>
      </w:r>
    </w:p>
    <w:p>
      <w:pPr>
        <w:spacing w:after="0" w:line="326" w:lineRule="exact"/>
        <w:rPr>
          <w:sz w:val="20"/>
          <w:szCs w:val="20"/>
          <w:color w:val="auto"/>
        </w:rPr>
      </w:pPr>
    </w:p>
    <w:p>
      <w:pPr>
        <w:ind w:right="56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Issues relating to our use of artificial intelligence and machine learning technologies, combined with an uncertain legal and regulatory environment, could materially and adversely affect our business, financial condition and results of operations.</w:t>
      </w:r>
    </w:p>
    <w:p>
      <w:pPr>
        <w:spacing w:after="0" w:line="25"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We use artificial intelligence and machine learning technologies in our operations and services. These technologies are subject to evolving laws, regulations, guidance, and industry standards, which may expose us to legal liability or regulatory risk, including with respect to third-party intellectual property, privacy, publicity, contractual, or other rights. The use of artificial intelligence and machine learning technologies also presents emerging ethical and social issues and may draw public scrutiny or controversy, and may also create or assist in producing unexpected results, errors or inadequacies, any of which may not be easily detectable. Issues relating to our use of artificial intelligence and machine learning technologies and the evolving legal and regulatory landscape applicable to such technologies may adversely affect our business, prospects,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Governmental Regulations, Laws and Taxation</w:t>
      </w:r>
    </w:p>
    <w:p>
      <w:pPr>
        <w:spacing w:after="0" w:line="12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Government regulation of H1-B visas may materially affect our workforce and limit our supply of qualified IT professionals, or increase our cost of securing workers.</w:t>
      </w:r>
    </w:p>
    <w:p>
      <w:pPr>
        <w:spacing w:after="0" w:line="4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We recruit IT professionals on a global basis and, therefore, must comply with the immigration laws in the countries in which we operate, particularly the U.S. As of December 31, 2025, approximately 48% of our employee workforce was working under Mastech Digital sponsored H1-B temporary work visas. Applicable law limits the number of new H1-B petitions that may be approved in a fiscal year, and if we are unable to obtain H1-B visas for our employees in sufficient quantities or at a sufficient rate for a significant period of time, our business, operating results and financial condition could be adversely affected. Additionally, legislation could be enacted limiting H1-B visa holders’ employment with staffing and data analytics companies, which could result in reduced revenues and/or a higher cost of recruiting.</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800"/>
          </w:cols>
          <w:pgMar w:left="540" w:top="750" w:right="540" w:bottom="0" w:gutter="0" w:footer="0" w:header="0"/>
          <w:type w:val="continuous"/>
        </w:sectPr>
      </w:pPr>
    </w:p>
    <w:bookmarkStart w:id="28" w:name="page29"/>
    <w:bookmarkEnd w:id="28"/>
    <w:p>
      <w:pPr>
        <w:ind w:firstLine="490"/>
        <w:spacing w:after="0" w:line="247" w:lineRule="auto"/>
        <w:rPr>
          <w:sz w:val="20"/>
          <w:szCs w:val="20"/>
          <w:color w:val="auto"/>
        </w:rPr>
      </w:pPr>
      <w:r>
        <w:rPr>
          <w:rFonts w:ascii="Times New Roman" w:cs="Times New Roman" w:eastAsia="Times New Roman" w:hAnsi="Times New Roman"/>
          <w:sz w:val="20"/>
          <w:szCs w:val="20"/>
          <w:color w:val="231F20"/>
        </w:rPr>
        <w:t>In recent years, the vast majority of our H1-B hires were not subject to the annual quota limiting H1-B visas because they were already in the U.S. under H1-B visa status with other employers. As a result, the negative impact on recruiting due to the exhaustion of recent H1-B quotas was not substantial. However, the subject of H1-B visas has recently become a political discussion point and the entire H1-B visa program could be significantly overhauled. If a new or revised H1-B visa program is implemented, or there are changes to the rules regarding the existing H1-B visa program, there could be elements of the H1-B visa program that may not be advantageous to our business model and could adversely impact our business, operating results or financial condition.</w:t>
      </w:r>
    </w:p>
    <w:p>
      <w:pPr>
        <w:spacing w:after="0" w:line="320" w:lineRule="exact"/>
        <w:rPr>
          <w:sz w:val="20"/>
          <w:szCs w:val="20"/>
          <w:color w:val="auto"/>
        </w:rPr>
      </w:pPr>
    </w:p>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Reclassification of our independent contractors by tax or regulatory authorities could have a material adverse effect on our business model and/or could require us to pay significant retroactive wages, taxes and penalties.</w:t>
      </w:r>
    </w:p>
    <w:p>
      <w:pPr>
        <w:spacing w:after="0" w:line="49"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We utilize individuals to provide certain services in connection with our business as qualified third-party independent contractors rather than as direct employees. As of December 31, 2025, approximately 15% of our workforce were independent contractors. Heightened state and federal scrutiny of independent contractor relationships could adversely affect us given that we utilize independent contractors to perform certain services. An adverse determination related to the independent contractor status of these subcontracted personnel could result in substantial taxes or other liabilities to us, which could result in a material adverse effect upon our business.</w:t>
      </w:r>
    </w:p>
    <w:p>
      <w:pPr>
        <w:spacing w:after="0" w:line="320"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Restrictions on immigration or unjustified or discriminatory enforcement of immigration laws could increase our cost of doing business, cause us to change the way we conduct our business or otherwise disrupt our operations.</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success of our business is dependent on our ability to recruit IT and data and analytics professionals and to mobilize them to meet our clients’ needs. Immigration laws in the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w:t>
      </w:r>
    </w:p>
    <w:p>
      <w:pPr>
        <w:spacing w:after="0" w:line="197"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Immigration change and the enforcement of immigration laws continue to attract significant attention in the public arena and in the current U.S. administration and Congress. If new immigration legislation is enacted in the U.S. or in the other jurisdictions in which we do business, such legislation may contain provisions that could make it more difficult or costly for us to recruit and retain IT professionals, and to a lesser extent data and analytics professionals. Additionally, there is uncertainty as to the position the U.S. will take with respect to immigration under the current administration or any new administration. As a result, we may incur additional costs to run our business or may have to change the way we conduct our operations, either of which could have a material adverse effect on our business, operating results and financial condition. Also, if the enforcement of immigration laws by governmental authorities is unjustified or discriminatory, such enforcement could have the effect of disrupting our workforce.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 federal policy changes may adversely affect our business.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Changes in U.S. federal fiscal, tax, trade, immigration, healthcare, and regulatory policies—whether resulting from legislative action, executive action, or administrative rulemaking—could affect the U.S. and global economy and create uncertainty for our customers and end markets. Such changes may influence corporate spending and hiring decisions, inflation and interest rates, international trade conditions, and regulatory compliance requirements, any of which could reduce demand for our services or increase our operating costs.</w:t>
      </w:r>
    </w:p>
    <w:p>
      <w:pPr>
        <w:spacing w:after="0" w:line="77"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Federal policy priorities and implementation can change over time, and the timing and scope of future policy actions are difficult to predict. As a result, we may be required to adapt our business practices, incur additional compliance costs, or experience changes in client demand. We cannot predict the ultimate impact of future policy changes on our business or whether such changes will benefit or adversely affect our results of operations and financial condition.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Adverse results in tax audits or interpretations of tax laws could have an adverse impact on our business.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We are subject to periodic federal, state and local tax audits for various tax years. We also need to comply with new, evolving or revised tax laws and regulations. The Tax Cuts and Jobs Act of 2017 continues to require interpretation, and the new administration could modify key aspects of the tax code, which could materially affect our tax obligations and effective tax rate. Although we attempt to comply with all taxing authority regulations, adverse findings or assessments made by taxing authorities as the result of an audit could have a material adverse effect on our business, results of operations and financial condition.</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800"/>
          </w:cols>
          <w:pgMar w:left="540" w:top="750" w:right="540" w:bottom="0" w:gutter="0" w:footer="0" w:header="0"/>
          <w:type w:val="continuous"/>
        </w:sectPr>
      </w:pPr>
    </w:p>
    <w:bookmarkStart w:id="29" w:name="page30"/>
    <w:bookmarkEnd w:id="29"/>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Requirements of the Affordable Care Act may continue to increase our employee benefits costs and could negatively affect our operating results, cash flows and financial condition if such costs aren’t recovered with increases in client bill rates.</w:t>
      </w:r>
    </w:p>
    <w:p>
      <w:pPr>
        <w:spacing w:after="0" w:line="49"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231F20"/>
        </w:rPr>
        <w:t>We provide healthcare coverage to our U.S.-based employees that are subject to the Affordable Care Act (“ACA”). Additional provisions of the ACA and the compliance of such may result in higher overall costs for the Company, which could have a negative impact on our operating results, cash flows and financial condition</w:t>
      </w:r>
      <w:r>
        <w:rPr>
          <w:rFonts w:ascii="Times New Roman" w:cs="Times New Roman" w:eastAsia="Times New Roman" w:hAnsi="Times New Roman"/>
          <w:sz w:val="20"/>
          <w:szCs w:val="20"/>
          <w:i w:val="1"/>
          <w:iCs w:val="1"/>
          <w:color w:val="231F20"/>
        </w:rPr>
        <w:t>.</w:t>
      </w:r>
    </w:p>
    <w:p>
      <w:pPr>
        <w:spacing w:after="0" w:line="308"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Issues in the development and use of artificial intelligence, combined with an uncertain regulatory environment, may result in reputational harm, liability, or other adverse consequences to our business operations.</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use machine learning and AI technologies in our offerings and business and we are making investments in expanding our AI capabilities. AI technologies are complex and rapidly evolving, and we face significant competition from other companies as well as evolving legal and regulatory landscapes. Laws and regulations applicable to AI continue to develop and may be inconsistent from jurisdiction to jurisdiction. For example, some U.S. states have proposed, and in certain cases enacted, legislation addressing aspects of the use and deployment of AI. The use of AI technologies in new or existing products may result in new or enhanced governmental or regulatory scrutiny, new or modified laws or regulations, claims, demands, and litigation, confidentiality, privacy, data protection, or security risks, ethical concerns, or other complications that could adversely affect our business, financial condition, results of operations and prospects.</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Uncertainty around new and emerging AI technologies may require additional investment in the obtaining, developing and maintaining of proprietary datasets and machine learning models, development of new approaches and processes to provide attribution or remuneration to creators of training data, and development of appropriate protections, safeguards, and policies for handling the processing of data with AI technologies, which may be costly and could impact our expenses. AI technologies also present emerging legal, ethical and social issues, including with respect to potential or actual bias reflected in, or flawed outputs of, models. AI technologies that we make use of may produce or create outputs that appear correct but are factually inaccurate or otherwise flawed, which may expose us to brand or reputational harm, competitive harm, regulatory scrutiny, and/or legal liability.</w:t>
      </w:r>
    </w:p>
    <w:p>
      <w:pPr>
        <w:spacing w:after="0" w:line="20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Pandemics, epidemics or other outbreaks of diseases have had and may in the future have a material adverse impact upon our business, liquidity, results of operations and financial condition.</w:t>
      </w:r>
    </w:p>
    <w:p>
      <w:pPr>
        <w:spacing w:after="0" w:line="182" w:lineRule="exact"/>
        <w:rPr>
          <w:sz w:val="20"/>
          <w:szCs w:val="20"/>
          <w:color w:val="auto"/>
        </w:rPr>
      </w:pPr>
    </w:p>
    <w:p>
      <w:pPr>
        <w:ind w:right="140" w:firstLine="734"/>
        <w:spacing w:after="0" w:line="247" w:lineRule="auto"/>
        <w:rPr>
          <w:sz w:val="20"/>
          <w:szCs w:val="20"/>
          <w:color w:val="auto"/>
        </w:rPr>
      </w:pPr>
      <w:r>
        <w:rPr>
          <w:rFonts w:ascii="Times New Roman" w:cs="Times New Roman" w:eastAsia="Times New Roman" w:hAnsi="Times New Roman"/>
          <w:sz w:val="20"/>
          <w:szCs w:val="20"/>
          <w:color w:val="231F20"/>
        </w:rPr>
        <w:t>Any pandemic, epidemic or other outbreak of disease may have widespread, rapidly evolving and unpredictable impacts on global society, economies, financial markets and business practices by, among other things, causing significant loss of life, curtailing congregation of people and disrupting communications and travel. Such events may have a material adverse impact upon, our business, liquidity, results of operations and financial condition, including as a result of reduced client demand for our services, closures of our clients' facilities that materially impair our ability to deliver services to our clients and satisfy contractually agreed upon service levels and increased strain on employees and management.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Climate change, extreme weather and risks arising from the transition to a lower-carbon economy may impact our business.</w:t>
      </w:r>
    </w:p>
    <w:p>
      <w:pPr>
        <w:spacing w:after="0" w:line="23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There are inherent climate and weather-related risks everywhere we conduct our business. Developments related to regulatory, social or market dynamics, stakeholder expectations, national and international climate change policies, the actual or perceived frequency or intensity of extreme weather events or the availability and functionality of critical infrastructure and resources, in addition to other factors resulting from such developments or that may not otherwise be known to or anticipated by us, could significantly disrupt our supply chain, our clients' operations and our ability to deliver services. Such events could significantly increase our costs and expenses and adversely affect our revenues, cash flows and financial performance. Further, natural disasters and adverse weather events, such as droughts, wildfires, storms, sea-level rise and flooding, occurring more frequently, with less predictability or with greater intensity, could cause community disruptions and impact our employees’ abilities to commute or to work from home safely and effectively. For example, we have substantial global delivery operations in Chennai, India, a city that has experienced severe rains and related flooding. Our exposure to these economic and other risks from climate change could be exacerbated if government or market action to address climate change and its effects is insufficient or unsuccessful.</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Economic and Financial Conditions</w:t>
      </w:r>
    </w:p>
    <w:p>
      <w:pPr>
        <w:spacing w:after="0" w:line="12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make estimates and assumptions in connection with the preparation of our consolidated financial statements and any changes to those estimates and assumptions could adversely affect our financial results.</w:t>
      </w:r>
    </w:p>
    <w:p>
      <w:pPr>
        <w:spacing w:after="0" w:line="4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Our financial statements have been prepared in accordance with U.S. generally accepted accounting principles. The application of these principles require us to make estimates and assumptions about certain items and future events that may affect our reported financial statements and our accompanying disclosure with respect to, among other things, revenue recognition, purchase accounting</w:t>
      </w:r>
    </w:p>
    <w:p>
      <w:pPr>
        <w:sectPr>
          <w:pgSz w:w="11880" w:h="15480" w:orient="portrait"/>
          <w:cols w:equalWidth="0" w:num="1">
            <w:col w:w="10780"/>
          </w:cols>
          <w:pgMar w:left="540" w:top="750" w:right="560" w:bottom="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780"/>
          </w:cols>
          <w:pgMar w:left="540" w:top="750" w:right="560" w:bottom="0" w:gutter="0" w:footer="0" w:header="0"/>
          <w:type w:val="continuous"/>
        </w:sectPr>
      </w:pPr>
    </w:p>
    <w:bookmarkStart w:id="30" w:name="page31"/>
    <w:bookmarkEnd w:id="30"/>
    <w:p>
      <w:pPr>
        <w:ind w:right="80"/>
        <w:spacing w:after="0" w:line="265" w:lineRule="auto"/>
        <w:rPr>
          <w:sz w:val="20"/>
          <w:szCs w:val="20"/>
          <w:color w:val="auto"/>
        </w:rPr>
      </w:pPr>
      <w:r>
        <w:rPr>
          <w:rFonts w:ascii="Times New Roman" w:cs="Times New Roman" w:eastAsia="Times New Roman" w:hAnsi="Times New Roman"/>
          <w:sz w:val="19"/>
          <w:szCs w:val="19"/>
          <w:color w:val="231F20"/>
        </w:rPr>
        <w:t>fair value measurements, contingent consideration and taxation related items. We base our estimates on historical experience and on various other assumptions that we believe are reasonable at the time they are made. These estimates and assumptions involve the use of judgment and can be subject to uncertainties, some of which are beyond our control. If our estimates or the assumptions underlying such estimates are incorrect, actual results may differ materially from our estimates and we may need to, among other things, revise revenues or recognize additional charges that could adversely affect our results of operations and our financial condition.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Negative or uncertain economic conditions in North America or elsewhere may adversely affect demand for our services.</w:t>
      </w:r>
    </w:p>
    <w:p>
      <w:pPr>
        <w:spacing w:after="0" w:line="12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Approximately 99% of our revenues are generated from clients located in North America. Our business depends on the overall demand for IT and data and analytics professionals and on the economic health of our clients. Weak economic conditions may force companies to reduce their IT staffing and data and analytics budgets and adversely affect demand for our services, thus reducing our revenues. Furthermore, economic uncertainty, including the concerns of our clients and other companies with respect to inflationary conditions in North America and elsewhere, has had and may continue to have an adverse impact on the demand for our services, which in turn could have a material adverse effect on our business, operating results and financial condition.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industries are highly competitive and fragmented, which may limit our ability to increase our prices for services.</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The IT staffing services and data analytics services industries are highly competitive and served by numerous global, national, regional and local firms. Primary competitors include participants from a variety of market segments, including the major consulting firms, systems consulting and implementation firms, U.S.-based staffing services companies, data and analytics service companies, applications software firms, service groups of computer equipment companies, specialized consulting firms, programming companies and temporary staffing firms. Many of these competitors have substantially greater financial, technical and marketing resources and greater name recognition than we have. There are relatively few barriers to entry into many of our markets, and as such we may face additional competition from new entrants into our markets. In addition, there is a risk that clients may elect to increase their internal resources to satisfy their staffing and data and analytics needs. There can be no assurance that we will compete successfully with existing or new competitors in the staffing and data analytics services markets.</w:t>
      </w:r>
    </w:p>
    <w:p>
      <w:pPr>
        <w:spacing w:after="0" w:line="326"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Regional conflicts in South Asia could adversely affect the Indian economy, disrupt our operations and cause our business to suffer.</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South Asia has, from time to time, experienced instances of civil unrest and hostilities among neighboring countries, such as between India and Pakistan, India and China, and even within India. There have been military confrontations along the India-Pakistan and India-China borders from time to time. The potential for hostilities between India and Pakistan is possible due to past terrorist incidents in India, troop mobilizations along the border, and the geopolitical situation in the region. Military activity or terrorist attacks in the future could influence the Indian economy by disrupting communications and making travel more difficult. This, in turn, could have a material adverse effect on our business, operating results and financial condition.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Wage costs in India may increase, which may reduce our operating margins and reduce a competitive advantage of ours.</w:t>
      </w:r>
    </w:p>
    <w:p>
      <w:pPr>
        <w:spacing w:after="0" w:line="120" w:lineRule="exact"/>
        <w:rPr>
          <w:sz w:val="20"/>
          <w:szCs w:val="20"/>
          <w:color w:val="auto"/>
        </w:rPr>
      </w:pPr>
    </w:p>
    <w:p>
      <w:pPr>
        <w:ind w:right="80" w:firstLine="490"/>
        <w:spacing w:after="0" w:line="263" w:lineRule="auto"/>
        <w:rPr>
          <w:sz w:val="20"/>
          <w:szCs w:val="20"/>
          <w:color w:val="auto"/>
        </w:rPr>
      </w:pPr>
      <w:r>
        <w:rPr>
          <w:rFonts w:ascii="Times New Roman" w:cs="Times New Roman" w:eastAsia="Times New Roman" w:hAnsi="Times New Roman"/>
          <w:sz w:val="19"/>
          <w:szCs w:val="19"/>
          <w:color w:val="231F20"/>
        </w:rPr>
        <w:t>Our wage costs in India have historically been significantly lower than wage costs in the U.S. for comparably skilled professionals, and this has been one of our competitive advantages with respect to the costs of our Indian recruiting and delivery offices. However, wage increases in India, including those resulting from inflationary pressures and/or due to revised regulatory requirements may prevent us from sustaining this competitive advantage and may negatively affect our operating margins. We may need to increase the levels of our employee compensation more rapidly than in the past to retain talent. Unless we are able to continue to increase the efficiency and productivity of our employees, wage increases in the long term may reduce our overall margins.</w:t>
      </w:r>
    </w:p>
    <w:p>
      <w:pPr>
        <w:spacing w:after="0" w:line="304"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use of artificial intelligence ("AI") technologies may not be successful and may present business, financial, legal and reputational risk.</w:t>
      </w:r>
    </w:p>
    <w:p>
      <w:pPr>
        <w:spacing w:after="0" w:line="164" w:lineRule="exact"/>
        <w:rPr>
          <w:sz w:val="20"/>
          <w:szCs w:val="20"/>
          <w:color w:val="auto"/>
        </w:rPr>
      </w:pPr>
    </w:p>
    <w:p>
      <w:pPr>
        <w:ind w:left="20" w:right="60" w:firstLine="900"/>
        <w:spacing w:after="0" w:line="250" w:lineRule="auto"/>
        <w:rPr>
          <w:sz w:val="20"/>
          <w:szCs w:val="20"/>
          <w:color w:val="auto"/>
        </w:rPr>
      </w:pPr>
      <w:r>
        <w:rPr>
          <w:rFonts w:ascii="Times New Roman" w:cs="Times New Roman" w:eastAsia="Times New Roman" w:hAnsi="Times New Roman"/>
          <w:sz w:val="20"/>
          <w:szCs w:val="20"/>
          <w:color w:val="231F20"/>
        </w:rPr>
        <w:t>The proliferation of AI may have a significant impact on our industry and we believe our ability to compete in this space will be critical to our financial performance. We increasingly use AI-based technologies , including GenAI, in our client offerings and our own internal operations. We have incurred and plan to continue to incur significant development and operational costs to build and support our AI capabilities, including costs to ensure ongoing compliance with the complex and rapidly evolving legal landscape around AI and automation. If we fail to develop and implement AI solutions that meet our internal and client needs and comply with the evolving legal and regulatory requirements around AI and automation, or if we are unable to bring AI-enabled solutions to market as effectively or with the same speed as our competitors, we may fail to recoup our investments in AI and our financial performance, competitive position, business and reputation may be adversely impacted.</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800"/>
          </w:cols>
          <w:pgMar w:left="540" w:top="750" w:right="54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231F20"/>
        </w:rPr>
        <w:t>Risks Related to Our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price of our common stock may fluctuate substantially, and your investment may decline in value.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market price of our common stock may be highly volatile and may fluctuate substantially due to many factors, including:</w:t>
      </w:r>
    </w:p>
    <w:p>
      <w:pPr>
        <w:spacing w:after="0" w:line="134" w:lineRule="exact"/>
        <w:rPr>
          <w:sz w:val="20"/>
          <w:szCs w:val="20"/>
          <w:color w:val="auto"/>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fluctuations in our results of operations;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variance in our financial performance from the expectations of market analysts;</w:t>
      </w:r>
    </w:p>
    <w:p>
      <w:pPr>
        <w:spacing w:after="0" w:line="133" w:lineRule="exact"/>
        <w:rPr>
          <w:rFonts w:ascii="Arial" w:cs="Arial" w:eastAsia="Arial" w:hAnsi="Arial"/>
          <w:sz w:val="20"/>
          <w:szCs w:val="20"/>
          <w:color w:val="231F20"/>
        </w:rPr>
      </w:pPr>
    </w:p>
    <w:p>
      <w:pPr>
        <w:ind w:left="840" w:right="600" w:hanging="350"/>
        <w:spacing w:after="0" w:line="276" w:lineRule="auto"/>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conditions and trends in the end markets we serve, and changes in the estimation of the size and growth rate of these markets;</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integrate acquisitions;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of significant contracts by us or our competitors;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our pricing policies or the pricing policies of our competitors;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restatements of historical financial results and changes in financial forecasts;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one or more of our significant customers;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legislation;</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market valuation or earnings of our competitors;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trading volume of our common stock;</w:t>
      </w:r>
    </w:p>
    <w:p>
      <w:pPr>
        <w:spacing w:after="0" w:line="133" w:lineRule="exact"/>
        <w:rPr>
          <w:rFonts w:ascii="Arial" w:cs="Arial" w:eastAsia="Arial" w:hAnsi="Arial"/>
          <w:sz w:val="20"/>
          <w:szCs w:val="20"/>
          <w:color w:val="231F20"/>
        </w:rPr>
      </w:pPr>
    </w:p>
    <w:p>
      <w:pPr>
        <w:ind w:left="840" w:right="420" w:hanging="350"/>
        <w:spacing w:after="0" w:line="276" w:lineRule="auto"/>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the trading of our common stock on multiple trading markets, which takes place in different currencies and at different times; and</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conditions.</w:t>
      </w:r>
    </w:p>
    <w:p>
      <w:pPr>
        <w:spacing w:after="0" w:line="359"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Evolving expectations around corporate responsibility practices, specifically related to environmental, social and governance (“ESG”) matters, may expose us to reputational and other risks.</w:t>
      </w:r>
    </w:p>
    <w:p>
      <w:pPr>
        <w:spacing w:after="0" w:line="4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Investors, shareholders, customers, suppliers and other third parties are increasingly focusing on ESG and corporate social responsibility endeavors and reporting. Certain institutional investors, investment funds, other influential investors, customers, suppliers and other third parties are also increasingly focused on ESG practices. If we do not adapt to or comply with evolving investor or stakeholder expectations and standards, or are perceived to have not responded appropriately, we may suffer from reputational damage, which could in turn materially and adversely affect our business, financial condition, and/or stock price. Further, this increased focus on ESG and corporate social responsibility may result in new regulations and/or third party requirements that could adversely impact our business, or certain shareholders reducing or eliminating their holdings of our stock. Additionally, an allegation that we have not taken sufficient action in these areas could negatively harm our reputation.</w:t>
      </w:r>
    </w:p>
    <w:p>
      <w:pPr>
        <w:spacing w:after="0" w:line="32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ownership is highly concentrated in two individuals and the interests of those individual shareholders may not coincide with yours.</w:t>
      </w:r>
    </w:p>
    <w:p>
      <w:pPr>
        <w:spacing w:after="0" w:line="4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Sunil Wadhwani and Ashok Trivedi, co-founders of the Company, beneficially own approximately 58% of Mastech Digital’s outstanding common stock as of December 31, 2025. Accordingly, Messrs. Wadhwani and Trivedi together have sufficient voting power to elect all the members of the Board of Directors and to effect transactions without the approval of our other shareholders, except for those limited transactions that require a supermajority vote under our bylaws or articles of incorporation. The interests of Messrs. Wadhwani and Trivedi may from time to time diverge from our interests. Mastech Digital’s Audit Committee consists of independent directors and addresses certain potential conflicts of interest and related party transactions that may arise between us and our directors, officers or our other affiliates. However, there can be no assurance that any conflicts of interest will be resolved in our favor.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results of operations and share price could be adversely affected if we are unable to maintain effective internal controls.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Internal controls related to the operation of our business are critical to our ability to provide accurate financial statements and an appropriate internal control environment. We are required to provide a report from management on our internal controls over financial reporting that includes an assessment of the effectiveness of these controls. Internal control over financial reporting has inherent limitations, including human error, the possibility that controls could be circumvented or become inadequate because of changing conditions. Because of these limitations, internal control over financial reporting might not prevent or detect all misstatements or</w:t>
      </w:r>
    </w:p>
    <w:p>
      <w:pPr>
        <w:sectPr>
          <w:pgSz w:w="11880" w:h="15480" w:orient="portrait"/>
          <w:cols w:equalWidth="0" w:num="1">
            <w:col w:w="10760"/>
          </w:cols>
          <w:pgMar w:left="540" w:top="746" w:right="580" w:bottom="0" w:gutter="0" w:footer="0" w:header="0"/>
        </w:sect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760"/>
          </w:cols>
          <w:pgMar w:left="540" w:top="746" w:right="580" w:bottom="0" w:gutter="0" w:footer="0" w:header="0"/>
          <w:type w:val="continuous"/>
        </w:sectPr>
      </w:pPr>
    </w:p>
    <w:bookmarkStart w:id="32" w:name="page33"/>
    <w:bookmarkEnd w:id="32"/>
    <w:p>
      <w:pPr>
        <w:spacing w:after="0" w:line="244" w:lineRule="auto"/>
        <w:rPr>
          <w:sz w:val="20"/>
          <w:szCs w:val="20"/>
          <w:color w:val="auto"/>
        </w:rPr>
      </w:pPr>
      <w:r>
        <w:rPr>
          <w:rFonts w:ascii="Times New Roman" w:cs="Times New Roman" w:eastAsia="Times New Roman" w:hAnsi="Times New Roman"/>
          <w:sz w:val="20"/>
          <w:szCs w:val="20"/>
          <w:color w:val="231F20"/>
        </w:rPr>
        <w:t>fraud. Also, while the Company remediated over the course of the 2021 fiscal year two material weaknesses identified in 2020, the completion of this remediation does not provide assurance that the Company’s remediation or other controls will continue to operate properly. Furthermore, management’s report on the Company’s internal controls over financial reporting was not subject to attestation by the Company’s independent registered public accounting firm pursuant to rules of the SEC that permit the Company to provide only management’s report in this Annual Report on Form 10-K. If we cannot maintain and execute adequate internal control over financial reporting or implement necessary new or improved controls that provide reasonable assurance of the reliability of our financial reporting and preparation of our financial statements for external use, we could suffer harm of our reputation, fail to meet our public reporting requirements on a timely basis, be unable to properly report our financial results, or be required to restate our financial statements, which could result in the loss of investor confidence and may adversely impact our stock price.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24"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Mastech Digital, Inc. recognizes the critical importance of developing, implementing, and maintaining robust cybersecurity measures to safeguard our information systems and protect the confidentiality, integrity, and availability of our data.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Managing Material Risks &amp; Integrated Overall Risk Management</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The Company has strategically integrated cybersecurity risk management into its broader risk management framework to promote a company-wide culture of cybersecurity risk management. This integration ensures that cybersecurity considerations are an integral part of our decision-making processes at every level. In 2022, we improved this integration by hiring a senior executive to assume the responsibilities of both the Chief Information Officer (“CIO”) and Chief Information Security Officer (“CISO”) roles within our organization. Thus, our risk management team is 100% aligned to our IT department to continuously evaluate and address cybersecurity risks within the Company’s business objectives and operational needs.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Engage Third-parties on Risk Management</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Recognizing the complexity and evolving nature of cybersecurity threats, Mastech Digital, Inc. engages with a range of external experts, including cybersecurity assessors, consultants, and auditors in evaluating and testing our risk management systems. These partnerships enable us to leverage specialized knowledge and insights, ensuring our cybersecurity strategies and processes remain at the forefront of industry best practices. Our collaboration with these third parties includes regular audits, threat assessments, and consultation on security enhancements. We have recently partnered with a cybersecurity company that specializes in third party-vendor risk management.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Oversee Third-party Risk</w:t>
      </w:r>
    </w:p>
    <w:p>
      <w:pPr>
        <w:spacing w:after="0" w:line="118"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31F20"/>
        </w:rPr>
        <w:t>Because we are aware of the risks associated with third-party service providers, Mastech Digital, Inc. implements stringent processes to oversee and manage these risks. We conduct thorough security assessments of all third-party providers before engagement and maintain ongoing monitoring to ensure compliance with our cybersecurity standards. The monitoring includes quarterly assessments by our CIO / CISO and on an ongoing basis by our security engineers. This approach is designed to mitigate risks related to data breaches or other security incidents originating from third-parties.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Risks from Cybersecurity Threats</w:t>
      </w:r>
    </w:p>
    <w:p>
      <w:pPr>
        <w:spacing w:after="0" w:line="118"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During 2025, we did not identify any cybersecurity threats that have materially affected, or are reasonably likely to materially affect the Company, including the Company's business strategy, results of operations, or financial condition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Board of Directors is acutely aware of the critical nature of managing risks associated with cybersecurity threats. The Board has established robust oversight mechanisms to ensure effective governance in managing risks associated with cybersecurity threats because we recognize the significance of these threats to our operational integrity and stakeholder confidence.</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780"/>
          </w:cols>
          <w:pgMar w:left="540" w:top="750" w:right="5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i w:val="1"/>
          <w:iCs w:val="1"/>
          <w:color w:val="231F20"/>
        </w:rPr>
        <w:t>Board of Directors Oversight</w:t>
      </w:r>
    </w:p>
    <w:p>
      <w:pPr>
        <w:spacing w:after="0" w:line="118"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231F20"/>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Management’s Role Managing Risk</w:t>
      </w:r>
    </w:p>
    <w:p>
      <w:pPr>
        <w:spacing w:after="0" w:line="118"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Our CIO / CISO and the Chief Executive Officer (“CEO”) play a pivotal role in informing the Audit Committee on cybersecurity risks. They provide comprehensive briefings to the Audit Committee on a regular basis, with a minimum frequency of twice per year. These briefings encompass a broad range of topics, including:</w:t>
      </w:r>
    </w:p>
    <w:p>
      <w:pPr>
        <w:spacing w:after="0" w:line="83" w:lineRule="exact"/>
        <w:rPr>
          <w:sz w:val="20"/>
          <w:szCs w:val="20"/>
          <w:color w:val="auto"/>
        </w:rPr>
      </w:pPr>
    </w:p>
    <w:p>
      <w:pPr>
        <w:ind w:left="840" w:hanging="350"/>
        <w:spacing w:after="0"/>
        <w:tabs>
          <w:tab w:leader="none" w:pos="84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Current cybersecurity landscape and emerging threats;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Status of ongoing cybersecurity initiatives and strategies;</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Incident reports and learnings from any cybersecurity events; and</w:t>
      </w:r>
    </w:p>
    <w:p>
      <w:pPr>
        <w:spacing w:after="0" w:line="133" w:lineRule="exact"/>
        <w:rPr>
          <w:rFonts w:ascii="Arial" w:cs="Arial" w:eastAsia="Arial" w:hAnsi="Arial"/>
          <w:sz w:val="20"/>
          <w:szCs w:val="20"/>
          <w:color w:val="231F20"/>
        </w:rPr>
      </w:pPr>
    </w:p>
    <w:p>
      <w:pPr>
        <w:ind w:left="840" w:hanging="350"/>
        <w:spacing w:after="0"/>
        <w:tabs>
          <w:tab w:leader="none" w:pos="84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regulatory requirements and industry standards.</w:t>
      </w:r>
    </w:p>
    <w:p>
      <w:pPr>
        <w:spacing w:after="0" w:line="235" w:lineRule="exact"/>
        <w:rPr>
          <w:sz w:val="20"/>
          <w:szCs w:val="20"/>
          <w:color w:val="auto"/>
        </w:rPr>
      </w:pPr>
    </w:p>
    <w:p>
      <w:pPr>
        <w:ind w:right="120" w:firstLine="490"/>
        <w:spacing w:after="0" w:line="241" w:lineRule="auto"/>
        <w:rPr>
          <w:sz w:val="20"/>
          <w:szCs w:val="20"/>
          <w:color w:val="auto"/>
        </w:rPr>
      </w:pPr>
      <w:r>
        <w:rPr>
          <w:rFonts w:ascii="Times New Roman" w:cs="Times New Roman" w:eastAsia="Times New Roman" w:hAnsi="Times New Roman"/>
          <w:sz w:val="20"/>
          <w:szCs w:val="20"/>
          <w:color w:val="231F20"/>
        </w:rPr>
        <w:t>In addition to our scheduled meetings, the Audit Committee, CIO / CISO and CEO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Mastech Digital, Inc. The Board of Directors conducts an annual review of the company’s cybersecurity posture and the effectiveness of its risk management strategies. This review helps in identifying areas for improvement and ensuring the alignment of cybersecurity efforts with the overall risk management framework.</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 Management Personnel</w:t>
      </w:r>
    </w:p>
    <w:p>
      <w:pPr>
        <w:spacing w:after="0" w:line="233" w:lineRule="exact"/>
        <w:rPr>
          <w:sz w:val="20"/>
          <w:szCs w:val="20"/>
          <w:color w:val="auto"/>
        </w:rPr>
      </w:pPr>
    </w:p>
    <w:p>
      <w:pPr>
        <w:ind w:left="20" w:right="120" w:firstLine="490"/>
        <w:spacing w:after="0" w:line="242" w:lineRule="auto"/>
        <w:rPr>
          <w:sz w:val="20"/>
          <w:szCs w:val="20"/>
          <w:color w:val="auto"/>
        </w:rPr>
      </w:pPr>
      <w:r>
        <w:rPr>
          <w:rFonts w:ascii="Times New Roman" w:cs="Times New Roman" w:eastAsia="Times New Roman" w:hAnsi="Times New Roman"/>
          <w:sz w:val="20"/>
          <w:szCs w:val="20"/>
          <w:color w:val="231F20"/>
        </w:rPr>
        <w:t>Primary responsibility for assessing, monitoring, and managing our cybersecurity risks rests with our CIO / CISO, Mr. Siva Perubotla. With over 20 years of experience in the field of Cloud, Infrastructure &amp; Cybersecurity, Mr. Siva brings a wealth of expertise to his role as the Company's CIO / CISO. His background includes extensive experience as an enterprise CISO and is well-recognized within the industry. His in-depth knowledge and experience are instrumental in developing and executing our cybersecurity strategies. Our CIO / CISO oversees our governance programs, tests our compliance with standards, remediates known risks, and leads our employee training program.</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Monitor Cybersecurity Incidents</w:t>
      </w:r>
    </w:p>
    <w:p>
      <w:pPr>
        <w:spacing w:after="0" w:line="113"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The CIO / CISO is continually informed about the latest developments in cybersecurity, including potential threats and innovative risk management techniques. This ongoing knowledge acquisition is crucial for the effective prevention, detection, mitigation, and remediation of cybersecurity incidents. The CIO / CISO implements and oversees processes for the regular monitoring of our information systems. This includes the deployment of advanced security measures and regular system audits to identify potential vulnerabilities. In the event of a cybersecurity incident, the CIO / CISO is equipped with a well-defined incident response plan. This plan includes immediate actions to mitigate the impact and long-term strategies for remediation and prevention of future incidents.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Reporting to Board of Directors</w:t>
      </w:r>
    </w:p>
    <w:p>
      <w:pPr>
        <w:spacing w:after="0" w:line="11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CIO / CISO, in his capacity, regularly informs the Chief Financial Officer (CFO); our General Counsel; as well as the Chief Executive Officer (CEO) of all aspects related to cybersecurity risks and incidents. This ensures that the highest levels of management are kept abreast of the cybersecurity posture and potential risks facing Mastech Digital, Inc. Furthermore, significant cybersecurity matters, and strategic risk management decisions are escalated to the Board of Directors, ensuring that they have comprehensive oversight and can provide guidance on critical cybersecurity issues.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Cybersecurity Threats / Incidents Effect on the Company Business Strategy Results of Operations and Financial Position</w:t>
      </w:r>
    </w:p>
    <w:p>
      <w:pPr>
        <w:spacing w:after="0" w:line="11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Cybersecurity is a business risk that the Company takes seriously. Over the last several years, we have improved our processes; upgraded cybersecurity leadership and supporting personnel; and have committed significant investment dollars to cybersecurity risk mitigation efforts. These investments have had an impact on our results of operations in 2024 and 2025, as disclosed further in the "Results of Operations" section of Item 7 of this Form 10-K. Despite our cybersecurity risk mitigation efforts, there can be no</w:t>
      </w:r>
    </w:p>
    <w:p>
      <w:pPr>
        <w:sectPr>
          <w:pgSz w:w="11880" w:h="15480" w:orient="portrait"/>
          <w:cols w:equalWidth="0" w:num="1">
            <w:col w:w="10780"/>
          </w:cols>
          <w:pgMar w:left="540" w:top="752" w:right="560" w:bottom="0"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780"/>
          </w:cols>
          <w:pgMar w:left="540" w:top="752" w:right="560" w:bottom="0" w:gutter="0" w:footer="0" w:header="0"/>
          <w:type w:val="continuous"/>
        </w:sectPr>
      </w:pPr>
    </w:p>
    <w:bookmarkStart w:id="34" w:name="page35"/>
    <w:bookmarkEnd w:id="34"/>
    <w:p>
      <w:pPr>
        <w:jc w:val="both"/>
        <w:ind w:right="320"/>
        <w:spacing w:after="0" w:line="254" w:lineRule="auto"/>
        <w:rPr>
          <w:sz w:val="20"/>
          <w:szCs w:val="20"/>
          <w:color w:val="auto"/>
        </w:rPr>
      </w:pPr>
      <w:r>
        <w:rPr>
          <w:rFonts w:ascii="Times New Roman" w:cs="Times New Roman" w:eastAsia="Times New Roman" w:hAnsi="Times New Roman"/>
          <w:sz w:val="20"/>
          <w:szCs w:val="20"/>
          <w:color w:val="231F20"/>
        </w:rPr>
        <w:t>guarantee that we will not be the subject of future successful attacks, threats or incidents. Additional information on cybersecurity risks we face can be found in Item IA "Risk Factors" under the heading "Risks Related to the Company's Business and Operation," which should be read in conjunction with the foregoing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Information regarding the principal properties leased by us and our subsidiaries as of December 31, 2025 is set forth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Approximate</w:t>
            </w:r>
          </w:p>
        </w:tc>
      </w:tr>
      <w:tr>
        <w:trPr>
          <w:trHeight w:val="184"/>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6"/>
              <w:spacing w:after="0"/>
              <w:rPr>
                <w:sz w:val="20"/>
                <w:szCs w:val="20"/>
                <w:color w:val="auto"/>
              </w:rPr>
            </w:pPr>
            <w:r>
              <w:rPr>
                <w:rFonts w:ascii="Times New Roman" w:cs="Times New Roman" w:eastAsia="Times New Roman" w:hAnsi="Times New Roman"/>
                <w:sz w:val="16"/>
                <w:szCs w:val="16"/>
                <w:b w:val="1"/>
                <w:bCs w:val="1"/>
                <w:color w:val="231F20"/>
              </w:rPr>
              <w:t>Occupying Business</w:t>
            </w:r>
          </w:p>
        </w:tc>
        <w:tc>
          <w:tcPr>
            <w:tcW w:w="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Square</w:t>
            </w:r>
          </w:p>
        </w:tc>
      </w:tr>
      <w:tr>
        <w:trPr>
          <w:trHeight w:val="203"/>
        </w:trPr>
        <w:tc>
          <w:tcPr>
            <w:tcW w:w="3060" w:type="dxa"/>
            <w:vAlign w:val="bottom"/>
            <w:tcBorders>
              <w:bottom w:val="single" w:sz="8" w:color="231F20"/>
            </w:tcBorders>
          </w:tcPr>
          <w:p>
            <w:pPr>
              <w:ind w:left="1220"/>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160" w:type="dxa"/>
            <w:vAlign w:val="bottom"/>
            <w:tcBorders>
              <w:bottom w:val="single" w:sz="8" w:color="E6E7E8"/>
            </w:tcBorders>
          </w:tcPr>
          <w:p>
            <w:pPr>
              <w:spacing w:after="0"/>
              <w:rPr>
                <w:sz w:val="17"/>
                <w:szCs w:val="17"/>
                <w:color w:val="auto"/>
              </w:rPr>
            </w:pPr>
          </w:p>
        </w:tc>
        <w:tc>
          <w:tcPr>
            <w:tcW w:w="4060" w:type="dxa"/>
            <w:vAlign w:val="bottom"/>
            <w:tcBorders>
              <w:bottom w:val="single" w:sz="8" w:color="231F20"/>
            </w:tcBorders>
          </w:tcPr>
          <w:p>
            <w:pPr>
              <w:ind w:left="1560"/>
              <w:spacing w:after="0"/>
              <w:rPr>
                <w:sz w:val="20"/>
                <w:szCs w:val="20"/>
                <w:color w:val="auto"/>
              </w:rPr>
            </w:pPr>
            <w:r>
              <w:rPr>
                <w:rFonts w:ascii="Times New Roman" w:cs="Times New Roman" w:eastAsia="Times New Roman" w:hAnsi="Times New Roman"/>
                <w:sz w:val="16"/>
                <w:szCs w:val="16"/>
                <w:b w:val="1"/>
                <w:bCs w:val="1"/>
                <w:color w:val="231F20"/>
              </w:rPr>
              <w:t>Principal Use</w:t>
            </w:r>
          </w:p>
        </w:tc>
        <w:tc>
          <w:tcPr>
            <w:tcW w:w="160" w:type="dxa"/>
            <w:vAlign w:val="bottom"/>
            <w:tcBorders>
              <w:bottom w:val="single" w:sz="8" w:color="E6E7E8"/>
            </w:tcBorders>
          </w:tcPr>
          <w:p>
            <w:pPr>
              <w:spacing w:after="0"/>
              <w:rPr>
                <w:sz w:val="17"/>
                <w:szCs w:val="17"/>
                <w:color w:val="auto"/>
              </w:rPr>
            </w:pPr>
          </w:p>
        </w:tc>
        <w:tc>
          <w:tcPr>
            <w:tcW w:w="1560" w:type="dxa"/>
            <w:vAlign w:val="bottom"/>
            <w:tcBorders>
              <w:bottom w:val="single" w:sz="8" w:color="231F20"/>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231F20"/>
              </w:rPr>
              <w:t>Segment</w:t>
            </w:r>
          </w:p>
        </w:tc>
        <w:tc>
          <w:tcPr>
            <w:tcW w:w="180" w:type="dxa"/>
            <w:vAlign w:val="bottom"/>
            <w:tcBorders>
              <w:bottom w:val="single" w:sz="8" w:color="E6E7E8"/>
            </w:tcBorders>
          </w:tcPr>
          <w:p>
            <w:pPr>
              <w:spacing w:after="0"/>
              <w:rPr>
                <w:sz w:val="17"/>
                <w:szCs w:val="17"/>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Footage</w:t>
            </w:r>
          </w:p>
        </w:tc>
      </w:tr>
      <w:tr>
        <w:trPr>
          <w:trHeight w:val="220"/>
        </w:trPr>
        <w:tc>
          <w:tcPr>
            <w:tcW w:w="3060" w:type="dxa"/>
            <w:vAlign w:val="bottom"/>
            <w:shd w:val="clear" w:color="auto" w:fill="E6E7E8"/>
          </w:tcPr>
          <w:p>
            <w:pPr>
              <w:spacing w:after="0" w:line="220" w:lineRule="exact"/>
              <w:rPr>
                <w:sz w:val="20"/>
                <w:szCs w:val="20"/>
                <w:color w:val="auto"/>
              </w:rPr>
            </w:pPr>
            <w:r>
              <w:rPr>
                <w:rFonts w:ascii="Times New Roman" w:cs="Times New Roman" w:eastAsia="Times New Roman" w:hAnsi="Times New Roman"/>
                <w:sz w:val="20"/>
                <w:szCs w:val="20"/>
                <w:color w:val="231F20"/>
              </w:rPr>
              <w:t>Moon Township, Pennsylvania</w:t>
            </w:r>
          </w:p>
        </w:tc>
        <w:tc>
          <w:tcPr>
            <w:tcW w:w="160" w:type="dxa"/>
            <w:vAlign w:val="bottom"/>
            <w:shd w:val="clear" w:color="auto" w:fill="E6E7E8"/>
          </w:tcPr>
          <w:p>
            <w:pPr>
              <w:spacing w:after="0"/>
              <w:rPr>
                <w:sz w:val="19"/>
                <w:szCs w:val="19"/>
                <w:color w:val="auto"/>
              </w:rPr>
            </w:pPr>
          </w:p>
        </w:tc>
        <w:tc>
          <w:tcPr>
            <w:tcW w:w="4060" w:type="dxa"/>
            <w:vAlign w:val="bottom"/>
            <w:shd w:val="clear" w:color="auto" w:fill="E6E7E8"/>
          </w:tcPr>
          <w:p>
            <w:pPr>
              <w:spacing w:after="0" w:line="220" w:lineRule="exact"/>
              <w:rPr>
                <w:sz w:val="20"/>
                <w:szCs w:val="20"/>
                <w:color w:val="auto"/>
              </w:rPr>
            </w:pPr>
            <w:r>
              <w:rPr>
                <w:rFonts w:ascii="Times New Roman" w:cs="Times New Roman" w:eastAsia="Times New Roman" w:hAnsi="Times New Roman"/>
                <w:sz w:val="20"/>
                <w:szCs w:val="20"/>
                <w:color w:val="231F20"/>
              </w:rPr>
              <w:t>Corporate headquarters, executive, human</w:t>
            </w:r>
          </w:p>
        </w:tc>
        <w:tc>
          <w:tcPr>
            <w:tcW w:w="160" w:type="dxa"/>
            <w:vAlign w:val="bottom"/>
            <w:shd w:val="clear" w:color="auto" w:fill="E6E7E8"/>
          </w:tcPr>
          <w:p>
            <w:pPr>
              <w:spacing w:after="0"/>
              <w:rPr>
                <w:sz w:val="19"/>
                <w:szCs w:val="19"/>
                <w:color w:val="auto"/>
              </w:rPr>
            </w:pPr>
          </w:p>
        </w:tc>
        <w:tc>
          <w:tcPr>
            <w:tcW w:w="156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1620" w:type="dxa"/>
            <w:vAlign w:val="bottom"/>
            <w:shd w:val="clear" w:color="auto" w:fill="E6E7E8"/>
          </w:tcPr>
          <w:p>
            <w:pPr>
              <w:spacing w:after="0"/>
              <w:rPr>
                <w:sz w:val="19"/>
                <w:szCs w:val="19"/>
                <w:color w:val="auto"/>
              </w:rPr>
            </w:pPr>
          </w:p>
        </w:tc>
      </w:tr>
      <w:tr>
        <w:trPr>
          <w:trHeight w:val="249"/>
        </w:trPr>
        <w:tc>
          <w:tcPr>
            <w:tcW w:w="306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40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resources, sales, recruiting, marketing and finance</w:t>
            </w:r>
          </w:p>
        </w:tc>
        <w:tc>
          <w:tcPr>
            <w:tcW w:w="160" w:type="dxa"/>
            <w:vAlign w:val="bottom"/>
            <w:shd w:val="clear" w:color="auto" w:fill="E6E7E8"/>
          </w:tcPr>
          <w:p>
            <w:pPr>
              <w:spacing w:after="0"/>
              <w:rPr>
                <w:sz w:val="21"/>
                <w:szCs w:val="21"/>
                <w:color w:val="auto"/>
              </w:rPr>
            </w:pPr>
          </w:p>
        </w:tc>
        <w:tc>
          <w:tcPr>
            <w:tcW w:w="1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IT Staffing</w:t>
            </w:r>
          </w:p>
        </w:tc>
        <w:tc>
          <w:tcPr>
            <w:tcW w:w="180" w:type="dxa"/>
            <w:vAlign w:val="bottom"/>
            <w:shd w:val="clear" w:color="auto" w:fill="E6E7E8"/>
          </w:tcPr>
          <w:p>
            <w:pPr>
              <w:spacing w:after="0"/>
              <w:rPr>
                <w:sz w:val="21"/>
                <w:szCs w:val="21"/>
                <w:color w:val="auto"/>
              </w:rPr>
            </w:pPr>
          </w:p>
        </w:tc>
        <w:tc>
          <w:tcPr>
            <w:tcW w:w="16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11,500</w:t>
            </w:r>
          </w:p>
        </w:tc>
      </w:tr>
      <w:tr>
        <w:trPr>
          <w:trHeight w:val="24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231F20"/>
              </w:rPr>
              <w:t>Chicago, Illinois</w:t>
            </w:r>
          </w:p>
        </w:tc>
        <w:tc>
          <w:tcPr>
            <w:tcW w:w="16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231F20"/>
              </w:rPr>
              <w:t>Executive, sales and recruiting</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IT Staffing</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2,300</w:t>
            </w:r>
          </w:p>
        </w:tc>
      </w:tr>
      <w:tr>
        <w:trPr>
          <w:trHeight w:val="244"/>
        </w:trPr>
        <w:tc>
          <w:tcPr>
            <w:tcW w:w="30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Toronto, Canada</w:t>
            </w:r>
          </w:p>
        </w:tc>
        <w:tc>
          <w:tcPr>
            <w:tcW w:w="160" w:type="dxa"/>
            <w:vAlign w:val="bottom"/>
            <w:shd w:val="clear" w:color="auto" w:fill="E6E7E8"/>
          </w:tcPr>
          <w:p>
            <w:pPr>
              <w:spacing w:after="0"/>
              <w:rPr>
                <w:sz w:val="21"/>
                <w:szCs w:val="21"/>
                <w:color w:val="auto"/>
              </w:rPr>
            </w:pPr>
          </w:p>
        </w:tc>
        <w:tc>
          <w:tcPr>
            <w:tcW w:w="40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Human resources, sales, marketing and delivery</w:t>
            </w:r>
          </w:p>
        </w:tc>
        <w:tc>
          <w:tcPr>
            <w:tcW w:w="160" w:type="dxa"/>
            <w:vAlign w:val="bottom"/>
            <w:shd w:val="clear" w:color="auto" w:fill="E6E7E8"/>
          </w:tcPr>
          <w:p>
            <w:pPr>
              <w:spacing w:after="0"/>
              <w:rPr>
                <w:sz w:val="21"/>
                <w:szCs w:val="21"/>
                <w:color w:val="auto"/>
              </w:rPr>
            </w:pPr>
          </w:p>
        </w:tc>
        <w:tc>
          <w:tcPr>
            <w:tcW w:w="1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Data and Analytics</w:t>
            </w:r>
          </w:p>
        </w:tc>
        <w:tc>
          <w:tcPr>
            <w:tcW w:w="180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3,800</w:t>
            </w:r>
          </w:p>
        </w:tc>
      </w:tr>
      <w:tr>
        <w:trPr>
          <w:trHeight w:val="244"/>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231F20"/>
              </w:rPr>
              <w:t>NOIDA, India</w:t>
            </w:r>
          </w:p>
        </w:tc>
        <w:tc>
          <w:tcPr>
            <w:tcW w:w="16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20"/>
                <w:szCs w:val="20"/>
                <w:color w:val="231F20"/>
              </w:rPr>
              <w:t>Sales and recruiting office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IT Staffing</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39,900</w:t>
            </w:r>
          </w:p>
        </w:tc>
      </w:tr>
      <w:tr>
        <w:trPr>
          <w:trHeight w:val="244"/>
        </w:trPr>
        <w:tc>
          <w:tcPr>
            <w:tcW w:w="30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Chennai, India</w:t>
            </w:r>
          </w:p>
        </w:tc>
        <w:tc>
          <w:tcPr>
            <w:tcW w:w="160" w:type="dxa"/>
            <w:vAlign w:val="bottom"/>
            <w:shd w:val="clear" w:color="auto" w:fill="E6E7E8"/>
          </w:tcPr>
          <w:p>
            <w:pPr>
              <w:spacing w:after="0"/>
              <w:rPr>
                <w:sz w:val="21"/>
                <w:szCs w:val="21"/>
                <w:color w:val="auto"/>
              </w:rPr>
            </w:pPr>
          </w:p>
        </w:tc>
        <w:tc>
          <w:tcPr>
            <w:tcW w:w="40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Sales and delivery center</w:t>
            </w:r>
          </w:p>
        </w:tc>
        <w:tc>
          <w:tcPr>
            <w:tcW w:w="160" w:type="dxa"/>
            <w:vAlign w:val="bottom"/>
            <w:shd w:val="clear" w:color="auto" w:fill="E6E7E8"/>
          </w:tcPr>
          <w:p>
            <w:pPr>
              <w:spacing w:after="0"/>
              <w:rPr>
                <w:sz w:val="21"/>
                <w:szCs w:val="21"/>
                <w:color w:val="auto"/>
              </w:rPr>
            </w:pPr>
          </w:p>
        </w:tc>
        <w:tc>
          <w:tcPr>
            <w:tcW w:w="15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Data and Analytics</w:t>
            </w:r>
          </w:p>
        </w:tc>
        <w:tc>
          <w:tcPr>
            <w:tcW w:w="180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35,400</w:t>
            </w: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800"/>
          </w:cols>
          <w:pgMar w:left="540" w:top="746" w:right="540" w:bottom="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0" w:lineRule="exact"/>
        <w:rPr>
          <w:sz w:val="20"/>
          <w:szCs w:val="20"/>
          <w:color w:val="auto"/>
        </w:rPr>
      </w:pPr>
    </w:p>
    <w:p>
      <w:pPr>
        <w:ind w:left="1100" w:right="560" w:hanging="1108"/>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THE REGISTRANT’S COMMON EQUITY, RELATED STOCKHOLDER MATTERS AND ISSUER PURCHASES OF EQUITY SECURITIES</w:t>
      </w:r>
    </w:p>
    <w:p>
      <w:pPr>
        <w:spacing w:after="0" w:line="36"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Our common stock is traded on the NYSE American under the symbol “MHH”. We began trading “regular way” on the former American Stock Exchange (“AMEX”) on October 1, 2008.</w:t>
      </w:r>
    </w:p>
    <w:p>
      <w:pPr>
        <w:spacing w:after="0" w:line="169"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On March 1, 2026, we had 70 registered holders of record of our common stock. This figure excludes an estimate of the indeterminate number of beneficial holders whose shares may be held by brokerage firms and clearing agencies. We currently do not pay recurring dividends on our common stock.</w:t>
      </w:r>
    </w:p>
    <w:p>
      <w:pPr>
        <w:spacing w:after="0" w:line="18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On February 8, 2023, the Company announced that the Board of Directors had authorized a share repurchase program of up to 500,000 shares of the Company’s common stock over a two-year period. Repurchases under the program could occur from time to time in the open market, through privately negotiated transactions, through block purchases or other purchase techniques, or by any combination of such methods. During the year ended December 31, 2025, the Company repurchased 299,523 shares of common stock at an average price of $7.49 per share under this program. On February 19, 2025, the Company announced that the Board of Directors had authorized an extension of its previously announced share repurchase program for an additional year through February 8, 2026. Common shares available for share repurchase under this program totaled 123,556 on December 31, 2025. On February 8, 2026, this share repurchase program expired by its terms.</w:t>
      </w:r>
    </w:p>
    <w:p>
      <w:pPr>
        <w:spacing w:after="0" w:line="20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197"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231F20"/>
        </w:rPr>
        <w:t>Additionally, we do, from time to time, purchase shares to enable employees to satisfy their tax obligations related to the vesting of restricted stock, in accordance with the provisions of the Company’s Stock Incentive Plan, as amended. During 2025, the Company did not purchase any shares to satisfy such employee tax obligations.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 summary of our common stock repurchased during the quarter ended December 31, 2025 is set forth in the following table: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rPr>
              <w:t>Total Number</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Maximum</w:t>
            </w:r>
          </w:p>
        </w:tc>
      </w:tr>
      <w:tr>
        <w:trPr>
          <w:trHeight w:val="184"/>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of Shares</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r>
      <w:tr>
        <w:trPr>
          <w:trHeight w:val="184"/>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w w:val="99"/>
              </w:rPr>
              <w:t>Purchased as</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Shares that May</w:t>
            </w:r>
          </w:p>
        </w:tc>
      </w:tr>
      <w:tr>
        <w:trPr>
          <w:trHeight w:val="184"/>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231F20"/>
                <w:w w:val="98"/>
              </w:rPr>
              <w:t>Total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rPr>
              <w:t>Part of Publicly</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Yet Be</w:t>
            </w:r>
          </w:p>
        </w:tc>
      </w:tr>
      <w:tr>
        <w:trPr>
          <w:trHeight w:val="184"/>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w w:val="99"/>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09"/>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140" w:type="dxa"/>
            <w:vAlign w:val="bottom"/>
          </w:tcPr>
          <w:p>
            <w:pPr>
              <w:spacing w:after="0"/>
              <w:rPr>
                <w:sz w:val="16"/>
                <w:szCs w:val="16"/>
                <w:color w:val="auto"/>
              </w:rPr>
            </w:pPr>
          </w:p>
        </w:tc>
        <w:tc>
          <w:tcPr>
            <w:tcW w:w="12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w w:val="99"/>
              </w:rPr>
              <w:t>Announced</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Purchased</w:t>
            </w:r>
          </w:p>
        </w:tc>
      </w:tr>
      <w:tr>
        <w:trPr>
          <w:trHeight w:val="184"/>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69"/>
              <w:spacing w:after="0"/>
              <w:rPr>
                <w:sz w:val="20"/>
                <w:szCs w:val="20"/>
                <w:color w:val="auto"/>
              </w:rPr>
            </w:pPr>
            <w:r>
              <w:rPr>
                <w:rFonts w:ascii="Times New Roman" w:cs="Times New Roman" w:eastAsia="Times New Roman" w:hAnsi="Times New Roman"/>
                <w:sz w:val="16"/>
                <w:szCs w:val="16"/>
                <w:b w:val="1"/>
                <w:bCs w:val="1"/>
                <w:color w:val="231F20"/>
              </w:rPr>
              <w:t>Price per</w:t>
            </w:r>
          </w:p>
        </w:tc>
        <w:tc>
          <w:tcPr>
            <w:tcW w:w="14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231F20"/>
                <w:w w:val="99"/>
              </w:rPr>
              <w:t>Plans or</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Under this Plan</w:t>
            </w:r>
          </w:p>
        </w:tc>
      </w:tr>
      <w:tr>
        <w:trPr>
          <w:trHeight w:val="203"/>
        </w:trPr>
        <w:tc>
          <w:tcPr>
            <w:tcW w:w="52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20" w:type="dxa"/>
            <w:vAlign w:val="bottom"/>
            <w:tcBorders>
              <w:bottom w:val="single" w:sz="8" w:color="E6E7E8"/>
            </w:tcBorders>
          </w:tcPr>
          <w:p>
            <w:pPr>
              <w:spacing w:after="0"/>
              <w:rPr>
                <w:sz w:val="17"/>
                <w:szCs w:val="17"/>
                <w:color w:val="auto"/>
              </w:rPr>
            </w:pPr>
          </w:p>
        </w:tc>
        <w:tc>
          <w:tcPr>
            <w:tcW w:w="1280" w:type="dxa"/>
            <w:vAlign w:val="bottom"/>
            <w:tcBorders>
              <w:bottom w:val="single" w:sz="8" w:color="231F20"/>
            </w:tcBorders>
          </w:tcPr>
          <w:p>
            <w:pPr>
              <w:jc w:val="center"/>
              <w:ind w:right="31"/>
              <w:spacing w:after="0"/>
              <w:rPr>
                <w:sz w:val="20"/>
                <w:szCs w:val="20"/>
                <w:color w:val="auto"/>
              </w:rPr>
            </w:pPr>
            <w:r>
              <w:rPr>
                <w:rFonts w:ascii="Times New Roman" w:cs="Times New Roman" w:eastAsia="Times New Roman" w:hAnsi="Times New Roman"/>
                <w:sz w:val="16"/>
                <w:szCs w:val="16"/>
                <w:b w:val="1"/>
                <w:bCs w:val="1"/>
                <w:color w:val="231F20"/>
              </w:rPr>
              <w:t>Purchased (1)</w:t>
            </w:r>
          </w:p>
        </w:tc>
        <w:tc>
          <w:tcPr>
            <w:tcW w:w="120" w:type="dxa"/>
            <w:vAlign w:val="bottom"/>
            <w:tcBorders>
              <w:bottom w:val="single" w:sz="8" w:color="E6E7E8"/>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269"/>
              <w:spacing w:after="0"/>
              <w:rPr>
                <w:sz w:val="20"/>
                <w:szCs w:val="20"/>
                <w:color w:val="auto"/>
              </w:rPr>
            </w:pPr>
            <w:r>
              <w:rPr>
                <w:rFonts w:ascii="Times New Roman" w:cs="Times New Roman" w:eastAsia="Times New Roman" w:hAnsi="Times New Roman"/>
                <w:sz w:val="16"/>
                <w:szCs w:val="16"/>
                <w:b w:val="1"/>
                <w:bCs w:val="1"/>
                <w:color w:val="231F20"/>
              </w:rPr>
              <w:t>Share (1)</w:t>
            </w:r>
          </w:p>
        </w:tc>
        <w:tc>
          <w:tcPr>
            <w:tcW w:w="140" w:type="dxa"/>
            <w:vAlign w:val="bottom"/>
            <w:tcBorders>
              <w:bottom w:val="single" w:sz="8" w:color="E6E7E8"/>
            </w:tcBorders>
          </w:tcPr>
          <w:p>
            <w:pPr>
              <w:spacing w:after="0"/>
              <w:rPr>
                <w:sz w:val="17"/>
                <w:szCs w:val="17"/>
                <w:color w:val="auto"/>
              </w:rPr>
            </w:pPr>
          </w:p>
        </w:tc>
        <w:tc>
          <w:tcPr>
            <w:tcW w:w="1260" w:type="dxa"/>
            <w:vAlign w:val="bottom"/>
            <w:tcBorders>
              <w:bottom w:val="single" w:sz="8" w:color="231F20"/>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231F20"/>
                <w:w w:val="99"/>
              </w:rPr>
              <w:t>Programs (1)</w:t>
            </w:r>
          </w:p>
        </w:tc>
        <w:tc>
          <w:tcPr>
            <w:tcW w:w="120" w:type="dxa"/>
            <w:vAlign w:val="bottom"/>
            <w:tcBorders>
              <w:bottom w:val="single" w:sz="8" w:color="E6E7E8"/>
            </w:tcBorders>
          </w:tcPr>
          <w:p>
            <w:pPr>
              <w:spacing w:after="0"/>
              <w:rPr>
                <w:sz w:val="17"/>
                <w:szCs w:val="17"/>
                <w:color w:val="auto"/>
              </w:rPr>
            </w:pPr>
          </w:p>
        </w:tc>
        <w:tc>
          <w:tcPr>
            <w:tcW w:w="12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or Programs (1)</w:t>
            </w:r>
          </w:p>
        </w:tc>
      </w:tr>
      <w:tr>
        <w:trPr>
          <w:trHeight w:val="239"/>
        </w:trPr>
        <w:tc>
          <w:tcPr>
            <w:tcW w:w="52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October 1, 2025 — October 31, 2025</w:t>
            </w:r>
          </w:p>
        </w:tc>
        <w:tc>
          <w:tcPr>
            <w:tcW w:w="120" w:type="dxa"/>
            <w:vAlign w:val="bottom"/>
            <w:shd w:val="clear" w:color="auto" w:fill="E6E7E8"/>
          </w:tcPr>
          <w:p>
            <w:pPr>
              <w:spacing w:after="0"/>
              <w:rPr>
                <w:sz w:val="20"/>
                <w:szCs w:val="20"/>
                <w:color w:val="auto"/>
              </w:rPr>
            </w:pPr>
          </w:p>
        </w:tc>
        <w:tc>
          <w:tcPr>
            <w:tcW w:w="128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0"/>
                <w:szCs w:val="20"/>
                <w:color w:val="auto"/>
              </w:rPr>
            </w:pPr>
          </w:p>
        </w:tc>
        <w:tc>
          <w:tcPr>
            <w:tcW w:w="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6E7E8"/>
          </w:tcPr>
          <w:p>
            <w:pPr>
              <w:jc w:val="right"/>
              <w:ind w:right="29"/>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6E7E8"/>
          </w:tcPr>
          <w:p>
            <w:pPr>
              <w:spacing w:after="0"/>
              <w:rPr>
                <w:sz w:val="20"/>
                <w:szCs w:val="20"/>
                <w:color w:val="auto"/>
              </w:rPr>
            </w:pPr>
          </w:p>
        </w:tc>
        <w:tc>
          <w:tcPr>
            <w:tcW w:w="1260" w:type="dxa"/>
            <w:vAlign w:val="bottom"/>
            <w:shd w:val="clear" w:color="auto" w:fill="E6E7E8"/>
          </w:tcPr>
          <w:p>
            <w:pPr>
              <w:jc w:val="right"/>
              <w:ind w:right="34"/>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0"/>
                <w:szCs w:val="20"/>
                <w:color w:val="auto"/>
              </w:rPr>
            </w:pPr>
          </w:p>
        </w:tc>
        <w:tc>
          <w:tcPr>
            <w:tcW w:w="12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214,456</w:t>
            </w:r>
          </w:p>
        </w:tc>
      </w:tr>
      <w:tr>
        <w:trPr>
          <w:trHeight w:val="24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231F20"/>
              </w:rPr>
              <w:t>November 1, 2025 — November 30, 2025</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214,456</w:t>
            </w:r>
          </w:p>
        </w:tc>
      </w:tr>
      <w:tr>
        <w:trPr>
          <w:trHeight w:val="244"/>
        </w:trPr>
        <w:tc>
          <w:tcPr>
            <w:tcW w:w="52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December 1, 2025 — December 31, 2025</w:t>
            </w:r>
          </w:p>
        </w:tc>
        <w:tc>
          <w:tcPr>
            <w:tcW w:w="1400" w:type="dxa"/>
            <w:vAlign w:val="bottom"/>
            <w:gridSpan w:val="2"/>
            <w:shd w:val="clear" w:color="auto" w:fill="E6E7E8"/>
          </w:tcPr>
          <w:p>
            <w:pPr>
              <w:jc w:val="right"/>
              <w:ind w:right="31"/>
              <w:spacing w:after="0"/>
              <w:rPr>
                <w:sz w:val="20"/>
                <w:szCs w:val="20"/>
                <w:color w:val="auto"/>
              </w:rPr>
            </w:pPr>
            <w:r>
              <w:rPr>
                <w:rFonts w:ascii="Times New Roman" w:cs="Times New Roman" w:eastAsia="Times New Roman" w:hAnsi="Times New Roman"/>
                <w:sz w:val="20"/>
                <w:szCs w:val="20"/>
                <w:color w:val="231F20"/>
              </w:rPr>
              <w:t>90,900</w:t>
            </w:r>
          </w:p>
        </w:tc>
        <w:tc>
          <w:tcPr>
            <w:tcW w:w="30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shd w:val="clear" w:color="auto" w:fill="E6E7E8"/>
          </w:tcPr>
          <w:p>
            <w:pPr>
              <w:jc w:val="right"/>
              <w:ind w:right="29"/>
              <w:spacing w:after="0"/>
              <w:rPr>
                <w:sz w:val="20"/>
                <w:szCs w:val="20"/>
                <w:color w:val="auto"/>
              </w:rPr>
            </w:pPr>
            <w:r>
              <w:rPr>
                <w:rFonts w:ascii="Times New Roman" w:cs="Times New Roman" w:eastAsia="Times New Roman" w:hAnsi="Times New Roman"/>
                <w:sz w:val="20"/>
                <w:szCs w:val="20"/>
                <w:color w:val="231F20"/>
              </w:rPr>
              <w:t>7.20</w:t>
            </w:r>
          </w:p>
        </w:tc>
        <w:tc>
          <w:tcPr>
            <w:tcW w:w="1400" w:type="dxa"/>
            <w:vAlign w:val="bottom"/>
            <w:gridSpan w:val="2"/>
            <w:shd w:val="clear" w:color="auto" w:fill="E6E7E8"/>
          </w:tcPr>
          <w:p>
            <w:pPr>
              <w:jc w:val="right"/>
              <w:ind w:right="34"/>
              <w:spacing w:after="0"/>
              <w:rPr>
                <w:sz w:val="20"/>
                <w:szCs w:val="20"/>
                <w:color w:val="auto"/>
              </w:rPr>
            </w:pPr>
            <w:r>
              <w:rPr>
                <w:rFonts w:ascii="Times New Roman" w:cs="Times New Roman" w:eastAsia="Times New Roman" w:hAnsi="Times New Roman"/>
                <w:sz w:val="20"/>
                <w:szCs w:val="20"/>
                <w:color w:val="231F20"/>
              </w:rPr>
              <w:t>90,900</w:t>
            </w:r>
          </w:p>
        </w:tc>
        <w:tc>
          <w:tcPr>
            <w:tcW w:w="13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123,556</w:t>
            </w:r>
          </w:p>
        </w:tc>
      </w:tr>
      <w:tr>
        <w:trPr>
          <w:trHeight w:val="261"/>
        </w:trPr>
        <w:tc>
          <w:tcPr>
            <w:tcW w:w="52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120" w:type="dxa"/>
            <w:vAlign w:val="bottom"/>
          </w:tcPr>
          <w:p>
            <w:pPr>
              <w:spacing w:after="0"/>
              <w:rPr>
                <w:sz w:val="22"/>
                <w:szCs w:val="22"/>
                <w:color w:val="auto"/>
              </w:rPr>
            </w:pPr>
          </w:p>
        </w:tc>
        <w:tc>
          <w:tcPr>
            <w:tcW w:w="1280" w:type="dxa"/>
            <w:vAlign w:val="bottom"/>
            <w:tcBorders>
              <w:top w:val="single" w:sz="8" w:color="231F20"/>
            </w:tcBorders>
          </w:tcPr>
          <w:p>
            <w:pPr>
              <w:jc w:val="right"/>
              <w:ind w:right="3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2"/>
                <w:szCs w:val="22"/>
                <w:color w:val="auto"/>
              </w:rPr>
            </w:pPr>
          </w:p>
        </w:tc>
        <w:tc>
          <w:tcPr>
            <w:tcW w:w="1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tcBorders>
          </w:tcPr>
          <w:p>
            <w:pPr>
              <w:jc w:val="right"/>
              <w:ind w:right="29"/>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2"/>
                <w:szCs w:val="22"/>
                <w:color w:val="auto"/>
              </w:rPr>
            </w:pPr>
          </w:p>
        </w:tc>
        <w:tc>
          <w:tcPr>
            <w:tcW w:w="1260" w:type="dxa"/>
            <w:vAlign w:val="bottom"/>
            <w:tcBorders>
              <w:top w:val="single" w:sz="8" w:color="231F20"/>
            </w:tcBorders>
          </w:tcPr>
          <w:p>
            <w:pPr>
              <w:jc w:val="right"/>
              <w:ind w:right="34"/>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2"/>
                <w:szCs w:val="22"/>
                <w:color w:val="auto"/>
              </w:rPr>
            </w:pPr>
          </w:p>
        </w:tc>
        <w:tc>
          <w:tcPr>
            <w:tcW w:w="12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123,556</w:t>
            </w:r>
          </w:p>
        </w:tc>
      </w:tr>
    </w:tbl>
    <w:p>
      <w:pPr>
        <w:spacing w:after="0" w:line="269" w:lineRule="exact"/>
        <w:rPr>
          <w:sz w:val="20"/>
          <w:szCs w:val="20"/>
          <w:color w:val="auto"/>
        </w:rPr>
      </w:pPr>
    </w:p>
    <w:p>
      <w:pPr>
        <w:ind w:left="980" w:right="40" w:hanging="490"/>
        <w:spacing w:after="0" w:line="277" w:lineRule="auto"/>
        <w:tabs>
          <w:tab w:leader="none" w:pos="980"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Company did not repurchase any shares of its common stock during the quarter ended December 31, 2025, other than through this publicly announced repurchase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-328930</wp:posOffset>
                </wp:positionV>
                <wp:extent cx="82296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8999pt" to="64.8pt,-25.8999pt" o:allowincell="f" strokecolor="#231F20" strokeweight="0.75pt"/>
            </w:pict>
          </mc:Fallback>
        </mc:AlternateContent>
      </w:r>
    </w:p>
    <w:p>
      <w:pPr>
        <w:spacing w:after="0" w:line="14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For the year ended December 31, 2025 and December 31, 2024, stock purchases under the Stock Purchase Plan totaled 15,114 and 34,860 shares at an average purchase price of $6.06 and $6.40, respectively. At December 31, 2025, there were 416,945 shares available for purchases under the Plan. On February 16, 2026, the Company's Board of Directors approved the termination of the Company’s Employee Stock Purchase Plan. The termination will become effective on July 1, 2026, following</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800"/>
          </w:cols>
          <w:pgMar w:left="540" w:top="746" w:right="540" w:bottom="0" w:gutter="0" w:footer="0" w:header="0"/>
          <w:type w:val="continuous"/>
        </w:sectPr>
      </w:pPr>
    </w:p>
    <w:bookmarkStart w:id="36" w:name="page37"/>
    <w:bookmarkEnd w:id="36"/>
    <w:p>
      <w:pPr>
        <w:spacing w:after="0" w:line="277" w:lineRule="auto"/>
        <w:rPr>
          <w:sz w:val="20"/>
          <w:szCs w:val="20"/>
          <w:color w:val="auto"/>
        </w:rPr>
      </w:pPr>
      <w:r>
        <w:rPr>
          <w:rFonts w:ascii="Times New Roman" w:cs="Times New Roman" w:eastAsia="Times New Roman" w:hAnsi="Times New Roman"/>
          <w:sz w:val="20"/>
          <w:szCs w:val="20"/>
          <w:color w:val="231F20"/>
        </w:rPr>
        <w:t>completion of the current offering period ending June 30, 2026. Shares issuable under the current offering period will be issued in accordance with the terms of the plan, and no additional offering periods will commence thereafter.</w:t>
      </w:r>
    </w:p>
    <w:p>
      <w:pPr>
        <w:sectPr>
          <w:pgSz w:w="11880" w:h="15480" w:orient="portrait"/>
          <w:cols w:equalWidth="0" w:num="1">
            <w:col w:w="10400"/>
          </w:cols>
          <w:pgMar w:left="540" w:top="75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400"/>
          </w:cols>
          <w:pgMar w:left="540" w:top="750" w:right="94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pacing w:after="0" w:line="120" w:lineRule="exact"/>
        <w:rPr>
          <w:sz w:val="20"/>
          <w:szCs w:val="20"/>
          <w:color w:val="auto"/>
        </w:rPr>
      </w:pPr>
    </w:p>
    <w:p>
      <w:pPr>
        <w:ind w:left="1100" w:right="1020" w:hanging="1108"/>
        <w:spacing w:after="0" w:line="286"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38" w:lineRule="exact"/>
        <w:rPr>
          <w:sz w:val="20"/>
          <w:szCs w:val="20"/>
          <w:color w:val="auto"/>
        </w:rPr>
      </w:pPr>
    </w:p>
    <w:p>
      <w:pPr>
        <w:ind w:right="340" w:firstLine="490"/>
        <w:spacing w:after="0" w:line="275" w:lineRule="auto"/>
        <w:rPr>
          <w:sz w:val="20"/>
          <w:szCs w:val="20"/>
          <w:color w:val="auto"/>
        </w:rPr>
      </w:pPr>
      <w:r>
        <w:rPr>
          <w:rFonts w:ascii="Times New Roman" w:cs="Times New Roman" w:eastAsia="Times New Roman" w:hAnsi="Times New Roman"/>
          <w:sz w:val="20"/>
          <w:szCs w:val="20"/>
          <w:i w:val="1"/>
          <w:iCs w:val="1"/>
          <w:color w:val="231F20"/>
        </w:rPr>
        <w:t>This Management’s Discussion and Analysis should be read in conjunction with our Consolidated Financial Statements and accompanying Notes included in this Annual Report on Form 10-K.</w:t>
      </w:r>
    </w:p>
    <w:p>
      <w:pPr>
        <w:spacing w:after="0" w:line="173" w:lineRule="exact"/>
        <w:rPr>
          <w:sz w:val="20"/>
          <w:szCs w:val="20"/>
          <w:color w:val="auto"/>
        </w:rPr>
      </w:pPr>
    </w:p>
    <w:p>
      <w:pPr>
        <w:ind w:right="140" w:firstLine="490"/>
        <w:spacing w:after="0" w:line="251" w:lineRule="auto"/>
        <w:rPr>
          <w:sz w:val="20"/>
          <w:szCs w:val="20"/>
          <w:color w:val="auto"/>
        </w:rPr>
      </w:pPr>
      <w:r>
        <w:rPr>
          <w:rFonts w:ascii="Times New Roman" w:cs="Times New Roman" w:eastAsia="Times New Roman" w:hAnsi="Times New Roman"/>
          <w:sz w:val="20"/>
          <w:szCs w:val="20"/>
          <w:i w:val="1"/>
          <w:iCs w:val="1"/>
          <w:color w:val="231F20"/>
        </w:rPr>
        <w:t>This Management’s Discussion and Analysis contains forward-looking statements that involve risks, uncertainties, and assumptions as described under the heading “Forward-Looking Statements” included in Part I of this Annual Report on Form 10-K. Our actual results could differ materially from those anticipated by these forward-looking statements as a result of many factors, including those discussed under “Item 1A. Risk Factors” and elsewhere in this Annual Report on Form 10-K.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are a provider of Digital Transformation IT Services to mostly large and medium-sized organizations.</w:t>
      </w:r>
    </w:p>
    <w:p>
      <w:pPr>
        <w:spacing w:after="0" w:line="240"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231F20"/>
        </w:rPr>
        <w:t>Our portfolio of offerings includes data management and analytics services, other Digital Transformation services, such as digital learning services, and IT staffing services.</w:t>
      </w:r>
    </w:p>
    <w:p>
      <w:pPr>
        <w:spacing w:after="0" w:line="16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20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197"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Beginning in the 2026 fiscal year, the Company plans to revise its segment structure to align with changes in how the Chief Operating Decision Maker (“CODM”) will be evaluating operating performance and allocating resources. These changes are driven by the Company’s operating strategy, which aligns the organization around account-centric management, industry-focused leadership, and an integrated approach to Talent and Services offerings.</w:t>
      </w:r>
    </w:p>
    <w:p>
      <w:pPr>
        <w:spacing w:after="0" w:line="19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Under the revised structure, the Company intends to transition from its current reportable segments of Data and Analytics and IT Staffing Services to the newly formed Talent and Services segments. The revised segment structure is expected to be effective for external reporting beginning in the 2026 fiscal year pending finalization of the Company’s analysis under ASC 280. Any changes to the Company’s segment reporting in future periods will include recasting prior period segment information in accordance with ASC 280.</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Economic Trends and Outlook</w:t>
      </w:r>
    </w:p>
    <w:p>
      <w:pPr>
        <w:spacing w:after="0" w:line="24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Our business, particularly within our IT Staffing Services segment, is closely correlated with general North American economic conditions and employment levels. Demand for our services typically increases during periods of economic expansion and strengthening labor markets, and declines during periods of economic contraction or reduced hiring activity. During 2025, hiring activity across certain technology and professional services sectors remained cautious, as clients continued to evaluate discretionary spending and workforce needs in light of broader economic uncertainty and elevated interest rates. These conditions contributed to reduced demand for our staffing and related services, resulting in lower revenue in both of our business segments compared to the prior year. Although overall labor market conditions have eased compared to prior years, compensation levels for certain specialized IT roles remain elevated. In a softer demand environment, competitive pricing conditions also affected our gross margins.</w:t>
      </w:r>
    </w:p>
    <w:p>
      <w:pPr>
        <w:spacing w:after="0" w:line="202"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Looking ahead, demand for our services is expected to remain influenced by overall economic growth, corporate hiring trends, and client confidence levels. Continued macroeconomic uncertainty or reduced business investment could further impact project</w:t>
      </w:r>
    </w:p>
    <w:p>
      <w:pPr>
        <w:sectPr>
          <w:pgSz w:w="11880" w:h="15480" w:orient="portrait"/>
          <w:cols w:equalWidth="0" w:num="1">
            <w:col w:w="10800"/>
          </w:cols>
          <w:pgMar w:left="540" w:top="746" w:right="540" w:bottom="0" w:gutter="0" w:footer="0" w:header="0"/>
        </w:sect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800"/>
          </w:cols>
          <w:pgMar w:left="540" w:top="746" w:right="54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231F20"/>
        </w:rPr>
        <w:t>activity and staffing demand in future periods.</w:t>
      </w:r>
    </w:p>
    <w:p>
      <w:pPr>
        <w:spacing w:after="0" w:line="24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In addition to general economic conditions in the markets we serve, a significant portion of our revenue is derived from a limited number of clients (see Item 1A, the Risk Factor entitled “Our revenues are highly concentrated, and the loss of a significant client would adversely affect our business and revenues”). As a result, our operating results may be materially influenced by the financial performance, hiring activity, and business priorities of these clients. Changes in spending levels or project activity by one or more significant clients may cause our results to vary from broader economic trends in a given period.</w:t>
      </w:r>
    </w:p>
    <w:p>
      <w:pPr>
        <w:spacing w:after="0" w:line="197"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Within our IT Staffing Services segment, a meaningful portion of revenue is generated through strategic relationships with systems integrators. In addition, many large end users utilize managed service providers (“MSPs”) to oversee contractor engagement and pricing. These intermediated delivery models may reduce pricing flexibility and could continue to exert pressure on our gross margins.</w:t>
      </w:r>
    </w:p>
    <w:p>
      <w:pPr>
        <w:spacing w:after="0" w:line="19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Demand for expertise in emerging and advanced technologies, including cloud computing, cybersecurity, artificial intelligence, data analytics, and automation, continues to influence client investment priorities across both of our business segments. While these areas present potential opportunities, demand for these skill sets can be uneven and highly dependent on client budgets and project timing. In addition, the availability of qualified professionals in certain specialized areas remains limited, which can affect fulfillment rates, compensation levels, and margins.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operate and report our business in two reporting segments — Data and Analytics Services and IT Staffing Services.</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Below is a tabular presentation of revenues and gross profit margins by segment for the periods discussed:</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Revenues &amp; Gross Margin by Segment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(Revenues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Revenues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62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340" w:type="dxa"/>
            <w:vAlign w:val="bottom"/>
          </w:tcPr>
          <w:p>
            <w:pPr>
              <w:spacing w:after="0"/>
              <w:rPr>
                <w:sz w:val="16"/>
                <w:szCs w:val="16"/>
                <w:color w:val="auto"/>
              </w:rPr>
            </w:pPr>
          </w:p>
        </w:tc>
        <w:tc>
          <w:tcPr>
            <w:tcW w:w="1280" w:type="dxa"/>
            <w:vAlign w:val="bottom"/>
          </w:tcPr>
          <w:p>
            <w:pPr>
              <w:jc w:val="right"/>
              <w:ind w:right="6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80" w:type="dxa"/>
            <w:vAlign w:val="bottom"/>
          </w:tcPr>
          <w:p>
            <w:pPr>
              <w:spacing w:after="0"/>
              <w:rPr>
                <w:sz w:val="16"/>
                <w:szCs w:val="16"/>
                <w:color w:val="auto"/>
              </w:rPr>
            </w:pPr>
          </w:p>
        </w:tc>
        <w:tc>
          <w:tcPr>
            <w:tcW w:w="92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42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shd w:val="clear" w:color="auto" w:fill="E6E7E8"/>
          </w:tcPr>
          <w:p>
            <w:pPr>
              <w:jc w:val="right"/>
              <w:ind w:right="205"/>
              <w:spacing w:after="0"/>
              <w:rPr>
                <w:sz w:val="20"/>
                <w:szCs w:val="20"/>
                <w:color w:val="auto"/>
              </w:rPr>
            </w:pPr>
            <w:r>
              <w:rPr>
                <w:rFonts w:ascii="Times New Roman" w:cs="Times New Roman" w:eastAsia="Times New Roman" w:hAnsi="Times New Roman"/>
                <w:sz w:val="20"/>
                <w:szCs w:val="20"/>
                <w:color w:val="231F20"/>
              </w:rPr>
              <w:t>33.3</w:t>
            </w:r>
          </w:p>
        </w:tc>
        <w:tc>
          <w:tcPr>
            <w:tcW w:w="34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shd w:val="clear" w:color="auto" w:fill="E6E7E8"/>
          </w:tcPr>
          <w:p>
            <w:pPr>
              <w:jc w:val="right"/>
              <w:ind w:right="263"/>
              <w:spacing w:after="0"/>
              <w:rPr>
                <w:sz w:val="20"/>
                <w:szCs w:val="20"/>
                <w:color w:val="auto"/>
              </w:rPr>
            </w:pPr>
            <w:r>
              <w:rPr>
                <w:rFonts w:ascii="Times New Roman" w:cs="Times New Roman" w:eastAsia="Times New Roman" w:hAnsi="Times New Roman"/>
                <w:sz w:val="20"/>
                <w:szCs w:val="20"/>
                <w:color w:val="231F20"/>
              </w:rPr>
              <w:t>36.6</w:t>
            </w:r>
          </w:p>
        </w:tc>
        <w:tc>
          <w:tcPr>
            <w:tcW w:w="28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99"/>
              </w:rPr>
              <w:t>$</w:t>
            </w: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34.4</w:t>
            </w:r>
          </w:p>
        </w:tc>
        <w:tc>
          <w:tcPr>
            <w:tcW w:w="22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IT Staffing Services</w:t>
            </w:r>
          </w:p>
        </w:tc>
        <w:tc>
          <w:tcPr>
            <w:tcW w:w="160" w:type="dxa"/>
            <w:vAlign w:val="bottom"/>
            <w:tcBorders>
              <w:bottom w:val="single" w:sz="8" w:color="E6E7E8"/>
            </w:tcBorders>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05"/>
              <w:spacing w:after="0"/>
              <w:rPr>
                <w:sz w:val="20"/>
                <w:szCs w:val="20"/>
                <w:color w:val="auto"/>
              </w:rPr>
            </w:pPr>
            <w:r>
              <w:rPr>
                <w:rFonts w:ascii="Times New Roman" w:cs="Times New Roman" w:eastAsia="Times New Roman" w:hAnsi="Times New Roman"/>
                <w:sz w:val="20"/>
                <w:szCs w:val="20"/>
                <w:color w:val="231F20"/>
              </w:rPr>
              <w:t>158.1</w:t>
            </w:r>
          </w:p>
        </w:tc>
        <w:tc>
          <w:tcPr>
            <w:tcW w:w="340" w:type="dxa"/>
            <w:vAlign w:val="bottom"/>
          </w:tcPr>
          <w:p>
            <w:pPr>
              <w:spacing w:after="0"/>
              <w:rPr>
                <w:sz w:val="21"/>
                <w:szCs w:val="21"/>
                <w:color w:val="auto"/>
              </w:rPr>
            </w:pPr>
          </w:p>
        </w:tc>
        <w:tc>
          <w:tcPr>
            <w:tcW w:w="12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231F20"/>
              </w:rPr>
              <w:t>162.3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166.7</w:t>
            </w:r>
          </w:p>
        </w:tc>
        <w:tc>
          <w:tcPr>
            <w:tcW w:w="2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Revenues</w:t>
            </w:r>
          </w:p>
        </w:tc>
        <w:tc>
          <w:tcPr>
            <w:tcW w:w="160" w:type="dxa"/>
            <w:vAlign w:val="bottom"/>
            <w:shd w:val="clear" w:color="auto" w:fill="E6E7E8"/>
          </w:tcPr>
          <w:p>
            <w:pPr>
              <w:spacing w:after="0"/>
              <w:rPr>
                <w:sz w:val="20"/>
                <w:szCs w:val="20"/>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200" w:type="dxa"/>
            <w:vAlign w:val="bottom"/>
            <w:tcBorders>
              <w:bottom w:val="single" w:sz="8" w:color="231F20"/>
            </w:tcBorders>
            <w:shd w:val="clear" w:color="auto" w:fill="E6E7E8"/>
          </w:tcPr>
          <w:p>
            <w:pPr>
              <w:jc w:val="right"/>
              <w:ind w:right="205"/>
              <w:spacing w:after="0"/>
              <w:rPr>
                <w:sz w:val="20"/>
                <w:szCs w:val="20"/>
                <w:color w:val="auto"/>
              </w:rPr>
            </w:pPr>
            <w:r>
              <w:rPr>
                <w:rFonts w:ascii="Times New Roman" w:cs="Times New Roman" w:eastAsia="Times New Roman" w:hAnsi="Times New Roman"/>
                <w:sz w:val="20"/>
                <w:szCs w:val="20"/>
                <w:b w:val="1"/>
                <w:bCs w:val="1"/>
                <w:color w:val="231F20"/>
              </w:rPr>
              <w:t>191.4</w:t>
            </w:r>
          </w:p>
        </w:tc>
        <w:tc>
          <w:tcPr>
            <w:tcW w:w="34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w:t>
            </w:r>
          </w:p>
        </w:tc>
        <w:tc>
          <w:tcPr>
            <w:tcW w:w="1280" w:type="dxa"/>
            <w:vAlign w:val="bottom"/>
            <w:tcBorders>
              <w:bottom w:val="single" w:sz="8" w:color="231F20"/>
            </w:tcBorders>
            <w:shd w:val="clear" w:color="auto" w:fill="E6E7E8"/>
          </w:tcPr>
          <w:p>
            <w:pPr>
              <w:jc w:val="right"/>
              <w:ind w:right="263"/>
              <w:spacing w:after="0"/>
              <w:rPr>
                <w:sz w:val="20"/>
                <w:szCs w:val="20"/>
                <w:color w:val="auto"/>
              </w:rPr>
            </w:pPr>
            <w:r>
              <w:rPr>
                <w:rFonts w:ascii="Times New Roman" w:cs="Times New Roman" w:eastAsia="Times New Roman" w:hAnsi="Times New Roman"/>
                <w:sz w:val="20"/>
                <w:szCs w:val="20"/>
                <w:b w:val="1"/>
                <w:bCs w:val="1"/>
                <w:color w:val="231F20"/>
              </w:rPr>
              <w:t>198.9</w:t>
            </w:r>
          </w:p>
        </w:tc>
        <w:tc>
          <w:tcPr>
            <w:tcW w:w="28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99"/>
              </w:rPr>
              <w:t>$</w:t>
            </w:r>
          </w:p>
        </w:tc>
        <w:tc>
          <w:tcPr>
            <w:tcW w:w="9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201.1</w:t>
            </w:r>
          </w:p>
        </w:tc>
        <w:tc>
          <w:tcPr>
            <w:tcW w:w="220" w:type="dxa"/>
            <w:vAlign w:val="bottom"/>
            <w:tcBorders>
              <w:bottom w:val="single" w:sz="8" w:color="231F20"/>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Gross Margin %</w:t>
            </w:r>
          </w:p>
        </w:tc>
        <w:tc>
          <w:tcPr>
            <w:tcW w:w="1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40" w:type="dxa"/>
            <w:vAlign w:val="bottom"/>
            <w:tcBorders>
              <w:bottom w:val="single" w:sz="8" w:color="231F20"/>
            </w:tcBorders>
            <w:vMerge w:val="continue"/>
          </w:tcPr>
          <w:p>
            <w:pPr>
              <w:spacing w:after="0"/>
              <w:rPr>
                <w:sz w:val="19"/>
                <w:szCs w:val="19"/>
                <w:color w:val="auto"/>
              </w:rPr>
            </w:pPr>
          </w:p>
        </w:tc>
        <w:tc>
          <w:tcPr>
            <w:tcW w:w="160" w:type="dxa"/>
            <w:vAlign w:val="bottom"/>
            <w:tcBorders>
              <w:bottom w:val="single" w:sz="8" w:color="E6E7E8"/>
            </w:tcBorders>
          </w:tcPr>
          <w:p>
            <w:pPr>
              <w:spacing w:after="0"/>
              <w:rPr>
                <w:sz w:val="19"/>
                <w:szCs w:val="19"/>
                <w:color w:val="auto"/>
              </w:rPr>
            </w:pPr>
          </w:p>
        </w:tc>
        <w:tc>
          <w:tcPr>
            <w:tcW w:w="260" w:type="dxa"/>
            <w:vAlign w:val="bottom"/>
            <w:tcBorders>
              <w:bottom w:val="single" w:sz="8" w:color="E6E7E8"/>
            </w:tcBorders>
          </w:tcPr>
          <w:p>
            <w:pPr>
              <w:spacing w:after="0"/>
              <w:rPr>
                <w:sz w:val="19"/>
                <w:szCs w:val="19"/>
                <w:color w:val="auto"/>
              </w:rPr>
            </w:pPr>
          </w:p>
        </w:tc>
        <w:tc>
          <w:tcPr>
            <w:tcW w:w="1200" w:type="dxa"/>
            <w:vAlign w:val="bottom"/>
            <w:tcBorders>
              <w:bottom w:val="single" w:sz="8" w:color="E6E7E8"/>
            </w:tcBorders>
          </w:tcPr>
          <w:p>
            <w:pPr>
              <w:spacing w:after="0"/>
              <w:rPr>
                <w:sz w:val="19"/>
                <w:szCs w:val="19"/>
                <w:color w:val="auto"/>
              </w:rPr>
            </w:pPr>
          </w:p>
        </w:tc>
        <w:tc>
          <w:tcPr>
            <w:tcW w:w="340" w:type="dxa"/>
            <w:vAlign w:val="bottom"/>
            <w:tcBorders>
              <w:bottom w:val="single" w:sz="8" w:color="E6E7E8"/>
            </w:tcBorders>
          </w:tcPr>
          <w:p>
            <w:pPr>
              <w:spacing w:after="0"/>
              <w:rPr>
                <w:sz w:val="19"/>
                <w:szCs w:val="19"/>
                <w:color w:val="auto"/>
              </w:rPr>
            </w:pPr>
          </w:p>
        </w:tc>
        <w:tc>
          <w:tcPr>
            <w:tcW w:w="1280" w:type="dxa"/>
            <w:vAlign w:val="bottom"/>
            <w:tcBorders>
              <w:bottom w:val="single" w:sz="8" w:color="E6E7E8"/>
            </w:tcBorders>
          </w:tcPr>
          <w:p>
            <w:pPr>
              <w:spacing w:after="0"/>
              <w:rPr>
                <w:sz w:val="19"/>
                <w:szCs w:val="19"/>
                <w:color w:val="auto"/>
              </w:rPr>
            </w:pPr>
          </w:p>
        </w:tc>
        <w:tc>
          <w:tcPr>
            <w:tcW w:w="280" w:type="dxa"/>
            <w:vAlign w:val="bottom"/>
            <w:tcBorders>
              <w:bottom w:val="single" w:sz="8" w:color="E6E7E8"/>
            </w:tcBorders>
          </w:tcPr>
          <w:p>
            <w:pPr>
              <w:spacing w:after="0"/>
              <w:rPr>
                <w:sz w:val="19"/>
                <w:szCs w:val="19"/>
                <w:color w:val="auto"/>
              </w:rPr>
            </w:pPr>
          </w:p>
        </w:tc>
        <w:tc>
          <w:tcPr>
            <w:tcW w:w="920" w:type="dxa"/>
            <w:vAlign w:val="bottom"/>
            <w:tcBorders>
              <w:bottom w:val="single" w:sz="8" w:color="E6E7E8"/>
            </w:tcBorders>
          </w:tcPr>
          <w:p>
            <w:pPr>
              <w:spacing w:after="0"/>
              <w:rPr>
                <w:sz w:val="19"/>
                <w:szCs w:val="19"/>
                <w:color w:val="auto"/>
              </w:rPr>
            </w:pPr>
          </w:p>
        </w:tc>
        <w:tc>
          <w:tcPr>
            <w:tcW w:w="220" w:type="dxa"/>
            <w:vAlign w:val="bottom"/>
            <w:tcBorders>
              <w:bottom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16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1200" w:type="dxa"/>
            <w:vAlign w:val="bottom"/>
            <w:shd w:val="clear" w:color="auto" w:fill="E6E7E8"/>
          </w:tcPr>
          <w:p>
            <w:pPr>
              <w:jc w:val="right"/>
              <w:ind w:right="25"/>
              <w:spacing w:after="0"/>
              <w:rPr>
                <w:sz w:val="20"/>
                <w:szCs w:val="20"/>
                <w:color w:val="auto"/>
              </w:rPr>
            </w:pPr>
            <w:r>
              <w:rPr>
                <w:rFonts w:ascii="Times New Roman" w:cs="Times New Roman" w:eastAsia="Times New Roman" w:hAnsi="Times New Roman"/>
                <w:sz w:val="20"/>
                <w:szCs w:val="20"/>
                <w:color w:val="231F20"/>
              </w:rPr>
              <w:t>46.2%</w:t>
            </w:r>
          </w:p>
        </w:tc>
        <w:tc>
          <w:tcPr>
            <w:tcW w:w="340" w:type="dxa"/>
            <w:vAlign w:val="bottom"/>
            <w:shd w:val="clear" w:color="auto" w:fill="E6E7E8"/>
          </w:tcPr>
          <w:p>
            <w:pPr>
              <w:spacing w:after="0"/>
              <w:rPr>
                <w:sz w:val="20"/>
                <w:szCs w:val="20"/>
                <w:color w:val="auto"/>
              </w:rPr>
            </w:pPr>
          </w:p>
        </w:tc>
        <w:tc>
          <w:tcPr>
            <w:tcW w:w="1280" w:type="dxa"/>
            <w:vAlign w:val="bottom"/>
            <w:shd w:val="clear" w:color="auto" w:fill="E6E7E8"/>
          </w:tcPr>
          <w:p>
            <w:pPr>
              <w:jc w:val="right"/>
              <w:ind w:right="83"/>
              <w:spacing w:after="0"/>
              <w:rPr>
                <w:sz w:val="20"/>
                <w:szCs w:val="20"/>
                <w:color w:val="auto"/>
              </w:rPr>
            </w:pPr>
            <w:r>
              <w:rPr>
                <w:rFonts w:ascii="Times New Roman" w:cs="Times New Roman" w:eastAsia="Times New Roman" w:hAnsi="Times New Roman"/>
                <w:sz w:val="20"/>
                <w:szCs w:val="20"/>
                <w:color w:val="231F20"/>
              </w:rPr>
              <w:t>49.1%</w:t>
            </w:r>
          </w:p>
        </w:tc>
        <w:tc>
          <w:tcPr>
            <w:tcW w:w="280" w:type="dxa"/>
            <w:vAlign w:val="bottom"/>
            <w:shd w:val="clear" w:color="auto" w:fill="E6E7E8"/>
          </w:tcPr>
          <w:p>
            <w:pPr>
              <w:spacing w:after="0"/>
              <w:rPr>
                <w:sz w:val="20"/>
                <w:szCs w:val="20"/>
                <w:color w:val="auto"/>
              </w:rPr>
            </w:pPr>
          </w:p>
        </w:tc>
        <w:tc>
          <w:tcPr>
            <w:tcW w:w="114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rPr>
              <w:t>43.5%</w:t>
            </w:r>
          </w:p>
        </w:tc>
        <w:tc>
          <w:tcPr>
            <w:tcW w:w="0" w:type="dxa"/>
            <w:vAlign w:val="bottom"/>
          </w:tcPr>
          <w:p>
            <w:pPr>
              <w:spacing w:after="0"/>
              <w:rPr>
                <w:sz w:val="1"/>
                <w:szCs w:val="1"/>
                <w:color w:val="auto"/>
              </w:rPr>
            </w:pPr>
          </w:p>
        </w:tc>
      </w:tr>
      <w:tr>
        <w:trPr>
          <w:trHeight w:val="24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231F20"/>
              </w:rPr>
              <w:t>IT Staffing Services</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24.0%</w:t>
            </w:r>
          </w:p>
        </w:tc>
        <w:tc>
          <w:tcPr>
            <w:tcW w:w="340" w:type="dxa"/>
            <w:vAlign w:val="bottom"/>
          </w:tcPr>
          <w:p>
            <w:pPr>
              <w:spacing w:after="0"/>
              <w:rPr>
                <w:sz w:val="21"/>
                <w:szCs w:val="21"/>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231F20"/>
              </w:rPr>
              <w:t>23.2%</w:t>
            </w:r>
          </w:p>
        </w:tc>
        <w:tc>
          <w:tcPr>
            <w:tcW w:w="2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21.6%</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E6E7E8"/>
          </w:tcPr>
          <w:p>
            <w:pPr>
              <w:ind w:left="200"/>
              <w:spacing w:after="0" w:line="258" w:lineRule="exact"/>
              <w:rPr>
                <w:sz w:val="20"/>
                <w:szCs w:val="20"/>
                <w:color w:val="auto"/>
              </w:rPr>
            </w:pPr>
            <w:r>
              <w:rPr>
                <w:rFonts w:ascii="Times New Roman" w:cs="Times New Roman" w:eastAsia="Times New Roman" w:hAnsi="Times New Roman"/>
                <w:sz w:val="20"/>
                <w:szCs w:val="20"/>
                <w:b w:val="1"/>
                <w:bCs w:val="1"/>
                <w:color w:val="231F20"/>
              </w:rPr>
              <w:t>Total Gross Margin %</w:t>
            </w:r>
            <w:r>
              <w:rPr>
                <w:rFonts w:ascii="Times New Roman" w:cs="Times New Roman" w:eastAsia="Times New Roman" w:hAnsi="Times New Roman"/>
                <w:sz w:val="26"/>
                <w:szCs w:val="26"/>
                <w:b w:val="1"/>
                <w:bCs w:val="1"/>
                <w:color w:val="231F20"/>
                <w:vertAlign w:val="superscript"/>
              </w:rPr>
              <w:t>(1)</w:t>
            </w:r>
          </w:p>
        </w:tc>
        <w:tc>
          <w:tcPr>
            <w:tcW w:w="160" w:type="dxa"/>
            <w:vAlign w:val="bottom"/>
            <w:shd w:val="clear" w:color="auto" w:fill="E6E7E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140" w:type="dxa"/>
            <w:vAlign w:val="bottom"/>
            <w:vMerge w:val="continue"/>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260" w:type="dxa"/>
            <w:vAlign w:val="bottom"/>
            <w:tcBorders>
              <w:bottom w:val="single" w:sz="8" w:color="231F20"/>
            </w:tcBorders>
            <w:shd w:val="clear" w:color="auto" w:fill="E6E7E8"/>
          </w:tcPr>
          <w:p>
            <w:pPr>
              <w:spacing w:after="0"/>
              <w:rPr>
                <w:sz w:val="20"/>
                <w:szCs w:val="20"/>
                <w:color w:val="auto"/>
              </w:rPr>
            </w:pPr>
          </w:p>
        </w:tc>
        <w:tc>
          <w:tcPr>
            <w:tcW w:w="12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27.9%</w:t>
            </w:r>
          </w:p>
        </w:tc>
        <w:tc>
          <w:tcPr>
            <w:tcW w:w="340" w:type="dxa"/>
            <w:vAlign w:val="bottom"/>
            <w:tcBorders>
              <w:bottom w:val="single" w:sz="8" w:color="231F20"/>
            </w:tcBorders>
            <w:shd w:val="clear" w:color="auto" w:fill="E6E7E8"/>
          </w:tcPr>
          <w:p>
            <w:pPr>
              <w:spacing w:after="0"/>
              <w:rPr>
                <w:sz w:val="20"/>
                <w:szCs w:val="20"/>
                <w:color w:val="auto"/>
              </w:rPr>
            </w:pPr>
          </w:p>
        </w:tc>
        <w:tc>
          <w:tcPr>
            <w:tcW w:w="1280" w:type="dxa"/>
            <w:vAlign w:val="bottom"/>
            <w:tcBorders>
              <w:bottom w:val="single" w:sz="8" w:color="231F20"/>
            </w:tcBorders>
            <w:shd w:val="clear" w:color="auto" w:fill="E6E7E8"/>
          </w:tcPr>
          <w:p>
            <w:pPr>
              <w:jc w:val="right"/>
              <w:ind w:right="43"/>
              <w:spacing w:after="0"/>
              <w:rPr>
                <w:sz w:val="20"/>
                <w:szCs w:val="20"/>
                <w:color w:val="auto"/>
              </w:rPr>
            </w:pPr>
            <w:r>
              <w:rPr>
                <w:rFonts w:ascii="Times New Roman" w:cs="Times New Roman" w:eastAsia="Times New Roman" w:hAnsi="Times New Roman"/>
                <w:sz w:val="20"/>
                <w:szCs w:val="20"/>
                <w:b w:val="1"/>
                <w:bCs w:val="1"/>
                <w:color w:val="231F20"/>
              </w:rPr>
              <w:t>27.9%</w:t>
            </w:r>
          </w:p>
        </w:tc>
        <w:tc>
          <w:tcPr>
            <w:tcW w:w="280" w:type="dxa"/>
            <w:vAlign w:val="bottom"/>
            <w:tcBorders>
              <w:bottom w:val="single" w:sz="8" w:color="231F20"/>
            </w:tcBorders>
            <w:shd w:val="clear" w:color="auto" w:fill="E6E7E8"/>
          </w:tcPr>
          <w:p>
            <w:pPr>
              <w:spacing w:after="0"/>
              <w:rPr>
                <w:sz w:val="20"/>
                <w:szCs w:val="20"/>
                <w:color w:val="auto"/>
              </w:rPr>
            </w:pPr>
          </w:p>
        </w:tc>
        <w:tc>
          <w:tcPr>
            <w:tcW w:w="114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25.4%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-1329055</wp:posOffset>
            </wp:positionV>
            <wp:extent cx="276606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extLst>
                    </a:blip>
                    <a:srcRect/>
                    <a:stretch>
                      <a:fillRect/>
                    </a:stretch>
                  </pic:blipFill>
                  <pic:spPr bwMode="auto">
                    <a:xfrm>
                      <a:off x="0" y="0"/>
                      <a:ext cx="2766060" cy="38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-1193165</wp:posOffset>
            </wp:positionV>
            <wp:extent cx="676084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extLst>
                    </a:blip>
                    <a:srcRect/>
                    <a:stretch>
                      <a:fillRect/>
                    </a:stretch>
                  </pic:blipFill>
                  <pic:spPr bwMode="auto">
                    <a:xfrm>
                      <a:off x="0" y="0"/>
                      <a:ext cx="6760845" cy="381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-874395</wp:posOffset>
            </wp:positionV>
            <wp:extent cx="276606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extLst>
                    </a:blip>
                    <a:srcRect/>
                    <a:stretch>
                      <a:fillRect/>
                    </a:stretch>
                  </pic:blipFill>
                  <pic:spPr bwMode="auto">
                    <a:xfrm>
                      <a:off x="0" y="0"/>
                      <a:ext cx="2766060" cy="3810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-207010</wp:posOffset>
            </wp:positionV>
            <wp:extent cx="276606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extLst>
                    </a:blip>
                    <a:srcRect/>
                    <a:stretch>
                      <a:fillRect/>
                    </a:stretch>
                  </pic:blipFill>
                  <pic:spPr bwMode="auto">
                    <a:xfrm>
                      <a:off x="0" y="0"/>
                      <a:ext cx="2766060" cy="38100"/>
                    </a:xfrm>
                    <a:prstGeom prst="rect">
                      <a:avLst/>
                    </a:prstGeom>
                    <a:noFill/>
                  </pic:spPr>
                </pic:pic>
              </a:graphicData>
            </a:graphic>
          </wp:anchor>
        </w:drawing>
      </w:r>
    </w:p>
    <w:p>
      <w:pPr>
        <w:spacing w:after="0" w:line="238" w:lineRule="exact"/>
        <w:rPr>
          <w:sz w:val="20"/>
          <w:szCs w:val="20"/>
          <w:color w:val="auto"/>
        </w:rPr>
      </w:pPr>
    </w:p>
    <w:p>
      <w:pPr>
        <w:ind w:right="640" w:firstLine="490"/>
        <w:spacing w:after="0" w:line="275" w:lineRule="auto"/>
        <w:tabs>
          <w:tab w:leader="none" w:pos="773" w:val="left"/>
        </w:tabs>
        <w:numPr>
          <w:ilvl w:val="0"/>
          <w:numId w:val="21"/>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Gross margin differences between the supplemental segment and consolidated results primarily reflect non-allocated severance expense of $0.3 million recorded in cost of goods sold during the third quarter of 2025.</w:t>
      </w:r>
    </w:p>
    <w:p>
      <w:pPr>
        <w:spacing w:after="0" w:line="391"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Below is a tabular presentation of operating expenses by sales and marketing, operations, general and administrative, amortization of acquired intangible assets, employment-related claim, net of recoveries, goodwill impairment, severance expense and finance and accounting transition for the periods discussed:</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800"/>
          </w:cols>
          <w:pgMar w:left="540" w:top="750" w:right="540" w:bottom="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231F20"/>
        </w:rPr>
        <w:t>Selling, General &amp; Administrative (“SG&amp;A”) Expense Details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Selling, General &amp; Administrative Expenses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120" w:type="dxa"/>
            <w:vAlign w:val="bottom"/>
            <w:tcBorders>
              <w:bottom w:val="single" w:sz="8" w:color="231F20"/>
            </w:tcBorders>
            <w:vMerge w:val="continue"/>
          </w:tcPr>
          <w:p>
            <w:pPr>
              <w:spacing w:after="0"/>
              <w:rPr>
                <w:sz w:val="16"/>
                <w:szCs w:val="16"/>
                <w:color w:val="auto"/>
              </w:rPr>
            </w:pPr>
          </w:p>
        </w:tc>
        <w:tc>
          <w:tcPr>
            <w:tcW w:w="140" w:type="dxa"/>
            <w:vAlign w:val="bottom"/>
            <w:tcBorders>
              <w:bottom w:val="single" w:sz="8" w:color="E6E7E8"/>
            </w:tcBorders>
          </w:tcPr>
          <w:p>
            <w:pPr>
              <w:spacing w:after="0"/>
              <w:rPr>
                <w:sz w:val="16"/>
                <w:szCs w:val="16"/>
                <w:color w:val="auto"/>
              </w:rPr>
            </w:pPr>
          </w:p>
        </w:tc>
        <w:tc>
          <w:tcPr>
            <w:tcW w:w="20" w:type="dxa"/>
            <w:vAlign w:val="bottom"/>
            <w:tcBorders>
              <w:bottom w:val="single" w:sz="8" w:color="E6E7E8"/>
            </w:tcBorders>
          </w:tcPr>
          <w:p>
            <w:pPr>
              <w:spacing w:after="0"/>
              <w:rPr>
                <w:sz w:val="16"/>
                <w:szCs w:val="16"/>
                <w:color w:val="auto"/>
              </w:rPr>
            </w:pPr>
          </w:p>
        </w:tc>
        <w:tc>
          <w:tcPr>
            <w:tcW w:w="280" w:type="dxa"/>
            <w:vAlign w:val="bottom"/>
            <w:tcBorders>
              <w:top w:val="single" w:sz="8" w:color="231F20"/>
              <w:bottom w:val="single" w:sz="8" w:color="231F20"/>
            </w:tcBorders>
          </w:tcPr>
          <w:p>
            <w:pPr>
              <w:spacing w:after="0"/>
              <w:rPr>
                <w:sz w:val="16"/>
                <w:szCs w:val="16"/>
                <w:color w:val="auto"/>
              </w:rPr>
            </w:pPr>
          </w:p>
        </w:tc>
        <w:tc>
          <w:tcPr>
            <w:tcW w:w="1140" w:type="dxa"/>
            <w:vAlign w:val="bottom"/>
            <w:tcBorders>
              <w:top w:val="single" w:sz="8" w:color="231F20"/>
              <w:bottom w:val="single" w:sz="8" w:color="231F20"/>
            </w:tcBorders>
          </w:tcPr>
          <w:p>
            <w:pPr>
              <w:jc w:val="right"/>
              <w:ind w:right="5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6E7E8"/>
            </w:tcBorders>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6E7E8"/>
            </w:tcBorders>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1080" w:type="dxa"/>
            <w:vAlign w:val="bottom"/>
            <w:tcBorders>
              <w:top w:val="single" w:sz="8" w:color="231F20"/>
              <w:bottom w:val="single" w:sz="8" w:color="231F20"/>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0" w:type="dxa"/>
            <w:vAlign w:val="bottom"/>
          </w:tcPr>
          <w:p>
            <w:pPr>
              <w:spacing w:after="0"/>
              <w:rPr>
                <w:sz w:val="1"/>
                <w:szCs w:val="1"/>
                <w:color w:val="auto"/>
              </w:rPr>
            </w:pPr>
          </w:p>
        </w:tc>
      </w:tr>
      <w:tr>
        <w:trPr>
          <w:trHeight w:val="239"/>
        </w:trPr>
        <w:tc>
          <w:tcPr>
            <w:tcW w:w="6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Data and Analytics Services Segment</w:t>
            </w:r>
          </w:p>
        </w:tc>
        <w:tc>
          <w:tcPr>
            <w:tcW w:w="14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4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Sales and Marketing</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6.8</w:t>
            </w:r>
          </w:p>
        </w:tc>
        <w:tc>
          <w:tcPr>
            <w:tcW w:w="14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7.3</w:t>
            </w:r>
          </w:p>
        </w:tc>
        <w:tc>
          <w:tcPr>
            <w:tcW w:w="16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0" w:type="dxa"/>
            <w:vAlign w:val="bottom"/>
          </w:tcPr>
          <w:p>
            <w:pPr>
              <w:spacing w:after="0"/>
              <w:rPr>
                <w:sz w:val="1"/>
                <w:szCs w:val="1"/>
                <w:color w:val="auto"/>
              </w:rPr>
            </w:pPr>
          </w:p>
        </w:tc>
      </w:tr>
      <w:tr>
        <w:trPr>
          <w:trHeight w:val="244"/>
        </w:trPr>
        <w:tc>
          <w:tcPr>
            <w:tcW w:w="6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Operations</w:t>
            </w:r>
          </w:p>
        </w:tc>
        <w:tc>
          <w:tcPr>
            <w:tcW w:w="14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40" w:type="dxa"/>
            <w:vAlign w:val="bottom"/>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0.6</w:t>
            </w:r>
          </w:p>
        </w:tc>
        <w:tc>
          <w:tcPr>
            <w:tcW w:w="14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44"/>
        </w:trPr>
        <w:tc>
          <w:tcPr>
            <w:tcW w:w="61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General &amp; Administrative</w:t>
            </w:r>
          </w:p>
        </w:tc>
        <w:tc>
          <w:tcPr>
            <w:tcW w:w="140" w:type="dxa"/>
            <w:vAlign w:val="bottom"/>
            <w:tcBorders>
              <w:bottom w:val="single" w:sz="8" w:color="E6E7E8"/>
            </w:tcBorders>
          </w:tcPr>
          <w:p>
            <w:pPr>
              <w:spacing w:after="0"/>
              <w:rPr>
                <w:sz w:val="21"/>
                <w:szCs w:val="21"/>
                <w:color w:val="auto"/>
              </w:rPr>
            </w:pPr>
          </w:p>
        </w:tc>
        <w:tc>
          <w:tcPr>
            <w:tcW w:w="2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8.2</w:t>
            </w:r>
          </w:p>
        </w:tc>
        <w:tc>
          <w:tcPr>
            <w:tcW w:w="140" w:type="dxa"/>
            <w:vAlign w:val="bottom"/>
            <w:tcBorders>
              <w:bottom w:val="single" w:sz="8" w:color="E6E7E8"/>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6.7</w:t>
            </w:r>
          </w:p>
        </w:tc>
        <w:tc>
          <w:tcPr>
            <w:tcW w:w="160" w:type="dxa"/>
            <w:vAlign w:val="bottom"/>
            <w:tcBorders>
              <w:bottom w:val="single" w:sz="8" w:color="E6E7E8"/>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39"/>
        </w:trPr>
        <w:tc>
          <w:tcPr>
            <w:tcW w:w="61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b w:val="1"/>
                <w:bCs w:val="1"/>
                <w:color w:val="231F20"/>
              </w:rPr>
              <w:t>Subtotal Data and Analytics Services</w:t>
            </w:r>
          </w:p>
        </w:tc>
        <w:tc>
          <w:tcPr>
            <w:tcW w:w="14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40" w:type="dxa"/>
            <w:vAlign w:val="bottom"/>
            <w:tcBorders>
              <w:bottom w:val="single" w:sz="8" w:color="231F20"/>
            </w:tcBorders>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b w:val="1"/>
                <w:bCs w:val="1"/>
                <w:color w:val="231F20"/>
              </w:rPr>
              <w:t>15.6</w:t>
            </w:r>
          </w:p>
        </w:tc>
        <w:tc>
          <w:tcPr>
            <w:tcW w:w="140" w:type="dxa"/>
            <w:vAlign w:val="bottom"/>
            <w:shd w:val="clear" w:color="auto" w:fill="E6E7E8"/>
          </w:tcPr>
          <w:p>
            <w:pPr>
              <w:spacing w:after="0"/>
              <w:rPr>
                <w:sz w:val="20"/>
                <w:szCs w:val="20"/>
                <w:color w:val="auto"/>
              </w:rPr>
            </w:pPr>
          </w:p>
        </w:tc>
        <w:tc>
          <w:tcPr>
            <w:tcW w:w="30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b w:val="1"/>
                <w:bCs w:val="1"/>
                <w:color w:val="231F20"/>
              </w:rPr>
              <w:t>14.7</w:t>
            </w:r>
          </w:p>
        </w:tc>
        <w:tc>
          <w:tcPr>
            <w:tcW w:w="160" w:type="dxa"/>
            <w:vAlign w:val="bottom"/>
            <w:shd w:val="clear" w:color="auto" w:fill="E6E7E8"/>
          </w:tcPr>
          <w:p>
            <w:pPr>
              <w:spacing w:after="0"/>
              <w:rPr>
                <w:sz w:val="20"/>
                <w:szCs w:val="20"/>
                <w:color w:val="auto"/>
              </w:rPr>
            </w:pPr>
          </w:p>
        </w:tc>
        <w:tc>
          <w:tcPr>
            <w:tcW w:w="300" w:type="dxa"/>
            <w:vAlign w:val="bottom"/>
            <w:tcBorders>
              <w:bottom w:val="single" w:sz="8" w:color="231F20"/>
            </w:tcBorders>
            <w:shd w:val="clear" w:color="auto" w:fill="E6E7E8"/>
          </w:tcPr>
          <w:p>
            <w:pPr>
              <w:spacing w:after="0"/>
              <w:rPr>
                <w:sz w:val="20"/>
                <w:szCs w:val="20"/>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16.7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IT Staffing Services Segment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Sales and Marketing</w:t>
            </w:r>
          </w:p>
        </w:tc>
        <w:tc>
          <w:tcPr>
            <w:tcW w:w="14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40" w:type="dxa"/>
            <w:vAlign w:val="bottom"/>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7.4</w:t>
            </w:r>
          </w:p>
        </w:tc>
        <w:tc>
          <w:tcPr>
            <w:tcW w:w="14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9.1</w:t>
            </w:r>
          </w:p>
        </w:tc>
        <w:tc>
          <w:tcPr>
            <w:tcW w:w="16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0" w:type="dxa"/>
            <w:vAlign w:val="bottom"/>
          </w:tcPr>
          <w:p>
            <w:pPr>
              <w:spacing w:after="0"/>
              <w:rPr>
                <w:sz w:val="1"/>
                <w:szCs w:val="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Operations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7.0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8.8</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0" w:type="dxa"/>
            <w:vAlign w:val="bottom"/>
          </w:tcPr>
          <w:p>
            <w:pPr>
              <w:spacing w:after="0"/>
              <w:rPr>
                <w:sz w:val="1"/>
                <w:szCs w:val="1"/>
                <w:color w:val="auto"/>
              </w:rPr>
            </w:pPr>
          </w:p>
        </w:tc>
      </w:tr>
      <w:tr>
        <w:trPr>
          <w:trHeight w:val="244"/>
        </w:trPr>
        <w:tc>
          <w:tcPr>
            <w:tcW w:w="6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General &amp; Administrative</w:t>
            </w:r>
          </w:p>
        </w:tc>
        <w:tc>
          <w:tcPr>
            <w:tcW w:w="14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40" w:type="dxa"/>
            <w:vAlign w:val="bottom"/>
            <w:tcBorders>
              <w:bottom w:val="single" w:sz="8" w:color="231F20"/>
            </w:tcBorders>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15.8</w:t>
            </w:r>
          </w:p>
        </w:tc>
        <w:tc>
          <w:tcPr>
            <w:tcW w:w="140" w:type="dxa"/>
            <w:vAlign w:val="bottom"/>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spacing w:after="0"/>
              <w:rPr>
                <w:sz w:val="21"/>
                <w:szCs w:val="21"/>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14.4</w:t>
            </w:r>
          </w:p>
        </w:tc>
        <w:tc>
          <w:tcPr>
            <w:tcW w:w="160" w:type="dxa"/>
            <w:vAlign w:val="bottom"/>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spacing w:after="0"/>
              <w:rPr>
                <w:sz w:val="21"/>
                <w:szCs w:val="21"/>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279"/>
        </w:trPr>
        <w:tc>
          <w:tcPr>
            <w:tcW w:w="612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b w:val="1"/>
                <w:bCs w:val="1"/>
                <w:color w:val="231F20"/>
              </w:rPr>
              <w:t>Subtotal IT Staffing Services</w:t>
            </w:r>
          </w:p>
        </w:tc>
        <w:tc>
          <w:tcPr>
            <w:tcW w:w="140" w:type="dxa"/>
            <w:vAlign w:val="bottom"/>
            <w:tcBorders>
              <w:bottom w:val="single" w:sz="8" w:color="E6E7E8"/>
            </w:tcBorders>
          </w:tcPr>
          <w:p>
            <w:pPr>
              <w:spacing w:after="0"/>
              <w:rPr>
                <w:sz w:val="24"/>
                <w:szCs w:val="24"/>
                <w:color w:val="auto"/>
              </w:rPr>
            </w:pPr>
          </w:p>
        </w:tc>
        <w:tc>
          <w:tcPr>
            <w:tcW w:w="2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b w:val="1"/>
                <w:bCs w:val="1"/>
                <w:color w:val="231F20"/>
              </w:rPr>
              <w:t>30.2</w:t>
            </w:r>
          </w:p>
        </w:tc>
        <w:tc>
          <w:tcPr>
            <w:tcW w:w="140" w:type="dxa"/>
            <w:vAlign w:val="bottom"/>
            <w:tcBorders>
              <w:bottom w:val="single" w:sz="8" w:color="E6E7E8"/>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231F20"/>
              </w:rPr>
              <w:t>32.3</w:t>
            </w:r>
          </w:p>
        </w:tc>
        <w:tc>
          <w:tcPr>
            <w:tcW w:w="160" w:type="dxa"/>
            <w:vAlign w:val="bottom"/>
            <w:tcBorders>
              <w:bottom w:val="single" w:sz="8" w:color="E6E7E8"/>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30.0</w:t>
            </w:r>
          </w:p>
        </w:tc>
        <w:tc>
          <w:tcPr>
            <w:tcW w:w="0" w:type="dxa"/>
            <w:vAlign w:val="bottom"/>
          </w:tcPr>
          <w:p>
            <w:pPr>
              <w:spacing w:after="0"/>
              <w:rPr>
                <w:sz w:val="1"/>
                <w:szCs w:val="1"/>
                <w:color w:val="auto"/>
              </w:rPr>
            </w:pPr>
          </w:p>
        </w:tc>
      </w:tr>
      <w:tr>
        <w:trPr>
          <w:trHeight w:val="229"/>
        </w:trPr>
        <w:tc>
          <w:tcPr>
            <w:tcW w:w="6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Amortization of Acquired Intangible Assets</w:t>
            </w:r>
          </w:p>
        </w:tc>
        <w:tc>
          <w:tcPr>
            <w:tcW w:w="140" w:type="dxa"/>
            <w:vAlign w:val="bottom"/>
            <w:shd w:val="clear" w:color="auto" w:fill="E6E7E8"/>
          </w:tcPr>
          <w:p>
            <w:pPr>
              <w:spacing w:after="0"/>
              <w:rPr>
                <w:sz w:val="19"/>
                <w:szCs w:val="19"/>
                <w:color w:val="auto"/>
              </w:rPr>
            </w:pPr>
          </w:p>
        </w:tc>
        <w:tc>
          <w:tcPr>
            <w:tcW w:w="20" w:type="dxa"/>
            <w:vAlign w:val="bottom"/>
            <w:shd w:val="clear" w:color="auto" w:fill="E6E7E8"/>
          </w:tcPr>
          <w:p>
            <w:pPr>
              <w:spacing w:after="0"/>
              <w:rPr>
                <w:sz w:val="19"/>
                <w:szCs w:val="19"/>
                <w:color w:val="auto"/>
              </w:rPr>
            </w:pPr>
          </w:p>
        </w:tc>
        <w:tc>
          <w:tcPr>
            <w:tcW w:w="280" w:type="dxa"/>
            <w:vAlign w:val="bottom"/>
            <w:shd w:val="clear" w:color="auto" w:fill="E6E7E8"/>
          </w:tcPr>
          <w:p>
            <w:pPr>
              <w:jc w:val="right"/>
              <w:ind w:right="115"/>
              <w:spacing w:after="0"/>
              <w:rPr>
                <w:sz w:val="20"/>
                <w:szCs w:val="20"/>
                <w:color w:val="auto"/>
              </w:rPr>
            </w:pPr>
            <w:r>
              <w:rPr>
                <w:rFonts w:ascii="Times New Roman" w:cs="Times New Roman" w:eastAsia="Times New Roman" w:hAnsi="Times New Roman"/>
                <w:sz w:val="17"/>
                <w:szCs w:val="17"/>
                <w:color w:val="231F20"/>
                <w:w w:val="70"/>
              </w:rPr>
              <w:t>$</w:t>
            </w:r>
          </w:p>
        </w:tc>
        <w:tc>
          <w:tcPr>
            <w:tcW w:w="1140" w:type="dxa"/>
            <w:vAlign w:val="bottom"/>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2.6</w:t>
            </w:r>
          </w:p>
        </w:tc>
        <w:tc>
          <w:tcPr>
            <w:tcW w:w="140" w:type="dxa"/>
            <w:vAlign w:val="bottom"/>
            <w:shd w:val="clear" w:color="auto" w:fill="E6E7E8"/>
          </w:tcPr>
          <w:p>
            <w:pPr>
              <w:spacing w:after="0"/>
              <w:rPr>
                <w:sz w:val="19"/>
                <w:szCs w:val="19"/>
                <w:color w:val="auto"/>
              </w:rPr>
            </w:pPr>
          </w:p>
        </w:tc>
        <w:tc>
          <w:tcPr>
            <w:tcW w:w="300" w:type="dxa"/>
            <w:vAlign w:val="bottom"/>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2.7</w:t>
            </w:r>
          </w:p>
        </w:tc>
        <w:tc>
          <w:tcPr>
            <w:tcW w:w="160" w:type="dxa"/>
            <w:vAlign w:val="bottom"/>
            <w:shd w:val="clear" w:color="auto" w:fill="E6E7E8"/>
          </w:tcPr>
          <w:p>
            <w:pPr>
              <w:spacing w:after="0"/>
              <w:rPr>
                <w:sz w:val="19"/>
                <w:szCs w:val="19"/>
                <w:color w:val="auto"/>
              </w:rPr>
            </w:pPr>
          </w:p>
        </w:tc>
        <w:tc>
          <w:tcPr>
            <w:tcW w:w="300" w:type="dxa"/>
            <w:vAlign w:val="bottom"/>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0" w:type="dxa"/>
            <w:vAlign w:val="bottom"/>
          </w:tcPr>
          <w:p>
            <w:pPr>
              <w:spacing w:after="0"/>
              <w:rPr>
                <w:sz w:val="1"/>
                <w:szCs w:val="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Employment-related Claim, net of Recoveries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44"/>
        </w:trPr>
        <w:tc>
          <w:tcPr>
            <w:tcW w:w="6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Goodwill Impairment</w:t>
            </w:r>
          </w:p>
        </w:tc>
        <w:tc>
          <w:tcPr>
            <w:tcW w:w="14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40" w:type="dxa"/>
            <w:vAlign w:val="bottom"/>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0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0" w:type="dxa"/>
            <w:vAlign w:val="bottom"/>
          </w:tcPr>
          <w:p>
            <w:pPr>
              <w:spacing w:after="0"/>
              <w:rPr>
                <w:sz w:val="1"/>
                <w:szCs w:val="1"/>
                <w:color w:val="auto"/>
              </w:rPr>
            </w:pPr>
          </w:p>
        </w:tc>
      </w:tr>
      <w:tr>
        <w:trPr>
          <w:trHeight w:val="24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Severance Expense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2.8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64"/>
        </w:trPr>
        <w:tc>
          <w:tcPr>
            <w:tcW w:w="612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Finance and Accounting Transition Expense</w:t>
            </w:r>
          </w:p>
        </w:tc>
        <w:tc>
          <w:tcPr>
            <w:tcW w:w="14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1140" w:type="dxa"/>
            <w:vAlign w:val="bottom"/>
            <w:tcBorders>
              <w:bottom w:val="single" w:sz="8" w:color="231F20"/>
            </w:tcBorders>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1.9</w:t>
            </w:r>
          </w:p>
        </w:tc>
        <w:tc>
          <w:tcPr>
            <w:tcW w:w="140" w:type="dxa"/>
            <w:vAlign w:val="bottom"/>
            <w:tcBorders>
              <w:bottom w:val="single" w:sz="8" w:color="E6E7E8"/>
            </w:tcBorders>
            <w:shd w:val="clear" w:color="auto" w:fill="E6E7E8"/>
          </w:tcPr>
          <w:p>
            <w:pPr>
              <w:spacing w:after="0"/>
              <w:rPr>
                <w:sz w:val="22"/>
                <w:szCs w:val="22"/>
                <w:color w:val="auto"/>
              </w:rPr>
            </w:pPr>
          </w:p>
        </w:tc>
        <w:tc>
          <w:tcPr>
            <w:tcW w:w="300" w:type="dxa"/>
            <w:vAlign w:val="bottom"/>
            <w:tcBorders>
              <w:bottom w:val="single" w:sz="8" w:color="231F20"/>
            </w:tcBorders>
            <w:shd w:val="clear" w:color="auto" w:fill="E6E7E8"/>
          </w:tcPr>
          <w:p>
            <w:pPr>
              <w:spacing w:after="0"/>
              <w:rPr>
                <w:sz w:val="22"/>
                <w:szCs w:val="22"/>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E6E7E8"/>
            </w:tcBorders>
            <w:shd w:val="clear" w:color="auto" w:fill="E6E7E8"/>
          </w:tcPr>
          <w:p>
            <w:pPr>
              <w:spacing w:after="0"/>
              <w:rPr>
                <w:sz w:val="22"/>
                <w:szCs w:val="22"/>
                <w:color w:val="auto"/>
              </w:rPr>
            </w:pPr>
          </w:p>
        </w:tc>
        <w:tc>
          <w:tcPr>
            <w:tcW w:w="300" w:type="dxa"/>
            <w:vAlign w:val="bottom"/>
            <w:tcBorders>
              <w:bottom w:val="single" w:sz="8" w:color="231F20"/>
            </w:tcBorders>
            <w:shd w:val="clear" w:color="auto" w:fill="E6E7E8"/>
          </w:tcPr>
          <w:p>
            <w:pPr>
              <w:spacing w:after="0"/>
              <w:rPr>
                <w:sz w:val="22"/>
                <w:szCs w:val="22"/>
                <w:color w:val="auto"/>
              </w:rPr>
            </w:pPr>
          </w:p>
        </w:tc>
        <w:tc>
          <w:tcPr>
            <w:tcW w:w="10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19"/>
        </w:trPr>
        <w:tc>
          <w:tcPr>
            <w:tcW w:w="612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231F20"/>
              </w:rPr>
              <w:t>Total SG&amp;A Expenses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231F20"/>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231F20"/>
                <w:w w:val="70"/>
              </w:rPr>
              <w:t>$</w:t>
            </w:r>
          </w:p>
        </w:tc>
        <w:tc>
          <w:tcPr>
            <w:tcW w:w="1140" w:type="dxa"/>
            <w:vAlign w:val="bottom"/>
            <w:tcBorders>
              <w:bottom w:val="single" w:sz="8" w:color="231F20"/>
            </w:tcBorders>
          </w:tcPr>
          <w:p>
            <w:pPr>
              <w:jc w:val="right"/>
              <w:ind w:right="23"/>
              <w:spacing w:after="0" w:line="219" w:lineRule="exact"/>
              <w:rPr>
                <w:sz w:val="20"/>
                <w:szCs w:val="20"/>
                <w:color w:val="auto"/>
              </w:rPr>
            </w:pPr>
            <w:r>
              <w:rPr>
                <w:rFonts w:ascii="Times New Roman" w:cs="Times New Roman" w:eastAsia="Times New Roman" w:hAnsi="Times New Roman"/>
                <w:sz w:val="20"/>
                <w:szCs w:val="20"/>
                <w:b w:val="1"/>
                <w:bCs w:val="1"/>
                <w:color w:val="231F20"/>
              </w:rPr>
              <w:t>53.1</w:t>
            </w:r>
          </w:p>
        </w:tc>
        <w:tc>
          <w:tcPr>
            <w:tcW w:w="14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1120" w:type="dxa"/>
            <w:vAlign w:val="bottom"/>
            <w:tcBorders>
              <w:bottom w:val="single" w:sz="8" w:color="231F20"/>
            </w:tcBorders>
          </w:tcPr>
          <w:p>
            <w:pPr>
              <w:jc w:val="right"/>
              <w:ind w:right="21"/>
              <w:spacing w:after="0" w:line="219" w:lineRule="exact"/>
              <w:rPr>
                <w:sz w:val="20"/>
                <w:szCs w:val="20"/>
                <w:color w:val="auto"/>
              </w:rPr>
            </w:pPr>
            <w:r>
              <w:rPr>
                <w:rFonts w:ascii="Times New Roman" w:cs="Times New Roman" w:eastAsia="Times New Roman" w:hAnsi="Times New Roman"/>
                <w:sz w:val="20"/>
                <w:szCs w:val="20"/>
                <w:b w:val="1"/>
                <w:bCs w:val="1"/>
                <w:color w:val="231F20"/>
              </w:rPr>
              <w:t>51.8</w:t>
            </w:r>
          </w:p>
        </w:tc>
        <w:tc>
          <w:tcPr>
            <w:tcW w:w="16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10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60.3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2025 Compared to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Revenues for the year ended December 31, 2025 totaled $191.4 million, compared to $198.9 million for the year ended December 31, 2024. This 3.8% decline in total revenues reflected a decrease in revenues of 9.1% in our Data and Analytics Services segment and a 2.6% revenue decrease in our IT Staffing Services segment.</w:t>
      </w:r>
    </w:p>
    <w:p>
      <w:pPr>
        <w:spacing w:after="0" w:line="188"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Our Data and Analytics Services segment’s 2025 revenues decreased to $33.3 million from $36.6 million in 2024. This decrease was largely due to a decrease in client spending on existing projects and lower bookings performance in 2025. Bookings in 2025 totaled $34.8 million, compared to $41.0 million reported in 2024.</w:t>
      </w:r>
    </w:p>
    <w:p>
      <w:pPr>
        <w:spacing w:after="0" w:line="188" w:lineRule="exact"/>
        <w:rPr>
          <w:sz w:val="20"/>
          <w:szCs w:val="20"/>
          <w:color w:val="auto"/>
        </w:rPr>
      </w:pPr>
    </w:p>
    <w:p>
      <w:pPr>
        <w:ind w:right="40" w:firstLine="490"/>
        <w:spacing w:after="0" w:line="265" w:lineRule="auto"/>
        <w:rPr>
          <w:sz w:val="20"/>
          <w:szCs w:val="20"/>
          <w:color w:val="auto"/>
        </w:rPr>
      </w:pPr>
      <w:r>
        <w:rPr>
          <w:rFonts w:ascii="Times New Roman" w:cs="Times New Roman" w:eastAsia="Times New Roman" w:hAnsi="Times New Roman"/>
          <w:sz w:val="19"/>
          <w:szCs w:val="19"/>
          <w:color w:val="231F20"/>
        </w:rPr>
        <w:t>Our IT Staffing Services segment’s 2025 revenues declined modestly, compared to 2024 revenues due to a lower average level of billable consultants during the the year compared to 2024. We ended 2025 with 840 billable consultants, compared to 1,008 billable consultants at the end of 2024, a decrease of 16.7%. Our average IT staffing bill rate for 2025 totaled $86.10 per hour compared to $82.77 per hour in 2024. This bill rate increase was due to higher rates on new assignments and was reflective of the type of skill sets that we deployed. Permanent placement / fee revenues totaled $0.8 million in 2025, compared to $0.9 million a year ago.</w:t>
      </w:r>
    </w:p>
    <w:p>
      <w:pPr>
        <w:spacing w:after="0" w:line="184"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In 2025, we had three clients that exceeded 10% of total revenues (Fidelity = 16.7%, Populus = 12.1% and CGI = 10.8%). In 2024, we had two client that exceeded 10% of total revenues (CGI = 14.5% and Populas = 10.7%). Our top ten clients represented 58% of total revenues in 2025 and 54% of total revenues in 2024. Additionally, our largest industry vertical, financial services, represented approximately 54% of total revenues in 2025, compared to approximately 49% in 2024.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Gross Margin</w:t>
      </w:r>
    </w:p>
    <w:p>
      <w:pPr>
        <w:spacing w:after="0" w:line="120"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Gross profit decreased to $53.1 million in 2025, compared to $55.6 million in 2024, a decrease of 4.6% on a year-over-basis. Gross profit as a percentage of revenue totaled 27.7% in both 2025, compared to 27.9% in 2024. Excluding the $0.3 million of severance expense, gross profit as a percentage of revenue was 27.9% for 2025.</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Gross margins from our Data and Analytics Services segment in 2025 were 46.2%, which was 290-basis points lower than the 49.1% gross margins that we achieved in 2024. The decrease reflected lower utilization rates through 2025 when compared to 2024, as well as a few key project ends. Including the $0.3 million of severance expense, gross margins were 45.4% for our Data and Analytics Services segment for 2025.</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800"/>
          </w:cols>
          <w:pgMar w:left="540" w:top="746" w:right="540" w:bottom="0" w:gutter="0" w:footer="0" w:header="0"/>
          <w:type w:val="continuous"/>
        </w:sectPr>
      </w:pPr>
    </w:p>
    <w:bookmarkStart w:id="40" w:name="page41"/>
    <w:bookmarkEnd w:id="40"/>
    <w:p>
      <w:pPr>
        <w:ind w:right="640" w:firstLine="490"/>
        <w:spacing w:after="0" w:line="277" w:lineRule="auto"/>
        <w:rPr>
          <w:sz w:val="20"/>
          <w:szCs w:val="20"/>
          <w:color w:val="auto"/>
        </w:rPr>
      </w:pPr>
      <w:r>
        <w:rPr>
          <w:rFonts w:ascii="Times New Roman" w:cs="Times New Roman" w:eastAsia="Times New Roman" w:hAnsi="Times New Roman"/>
          <w:sz w:val="20"/>
          <w:szCs w:val="20"/>
          <w:color w:val="231F20"/>
        </w:rPr>
        <w:t>Gross margins in our IT Staffing Services segment were 24.0% in 2025, compared to 23.2% in 2024. This 80-basis point increase was primarily due to higher bill rates during 2025 when compared to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(“SG&amp;A”) Expenses</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SG&amp;A expenses in 2025 totaled $53.1 million and represented 27.7% of total revenues, compared to $51.8 million or 26.0% of revenues in 2024. When excluding the amortization of acquired intangible assets, severance expenses and finance and accounting transition expense in 2025, and the amortization of acquired intangible assets and severance expenses in 2024, the adjusted SG&amp;A expenses related to operations as a percentage of revenues was 23.9% in 2025 versus 23.6% in 2024. The increase in SG&amp;A as a percentage of revenues, excluding these items mentioned above, was largely due to higher general and administrative expenses in both business segments, partially offset by lower sales and operations expenses.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Fluctuations within SG&amp;A expense components during 2025 compared to 2024 included the following:</w:t>
      </w:r>
    </w:p>
    <w:p>
      <w:pPr>
        <w:spacing w:after="0" w:line="364" w:lineRule="exact"/>
        <w:rPr>
          <w:sz w:val="20"/>
          <w:szCs w:val="20"/>
          <w:color w:val="auto"/>
        </w:rPr>
      </w:pPr>
    </w:p>
    <w:p>
      <w:pPr>
        <w:ind w:left="840" w:right="100" w:hanging="350"/>
        <w:spacing w:after="0" w:line="252" w:lineRule="auto"/>
        <w:tabs>
          <w:tab w:leader="none" w:pos="84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expense was $2.2 million lower in 2025 compared to the previous year. In our IT Staffing Services segment, sales expense decreased by $1.7 million due to lower compensation expenses resulting from headcount reductions and lower marketing spend. In the Data and Analytics Services segment, sales expense decreased by $0.5 million due to a decrease in marketing and event expenses and lower compensation expenses resulting from headcount reductions.</w:t>
      </w:r>
    </w:p>
    <w:p>
      <w:pPr>
        <w:spacing w:after="0" w:line="87" w:lineRule="exact"/>
        <w:rPr>
          <w:rFonts w:ascii="Arial" w:cs="Arial" w:eastAsia="Arial" w:hAnsi="Arial"/>
          <w:sz w:val="20"/>
          <w:szCs w:val="20"/>
          <w:color w:val="231F20"/>
        </w:rPr>
      </w:pPr>
    </w:p>
    <w:p>
      <w:pPr>
        <w:ind w:left="840" w:right="220" w:hanging="350"/>
        <w:spacing w:after="0" w:line="252" w:lineRule="auto"/>
        <w:tabs>
          <w:tab w:leader="none" w:pos="84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Operations expense decreased by $1.9 million compared to 2024. In our IT Staffing Services segment operations expense decreased $1.8 million in 2025, due to lower compensation expenses resulting from headcount reduction and lower legal fees. Operations expenses in our Data and Analytics Services segment decreased by $0.1 million in 2025, due to lower recruiting and travel costs.</w:t>
      </w:r>
    </w:p>
    <w:p>
      <w:pPr>
        <w:spacing w:after="0" w:line="87" w:lineRule="exact"/>
        <w:rPr>
          <w:rFonts w:ascii="Arial" w:cs="Arial" w:eastAsia="Arial" w:hAnsi="Arial"/>
          <w:sz w:val="20"/>
          <w:szCs w:val="20"/>
          <w:color w:val="231F20"/>
        </w:rPr>
      </w:pPr>
    </w:p>
    <w:p>
      <w:pPr>
        <w:ind w:left="840" w:hanging="350"/>
        <w:spacing w:after="0" w:line="247" w:lineRule="auto"/>
        <w:tabs>
          <w:tab w:leader="none" w:pos="84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and administrative expenses increased by $2.9 million in 2025 compared to 2024. The increase was primarily attributable to higher executive compensation, including stock-based compensation, as well as recruiting fees and travel costs associated with leadership changes during the year. In addition, audit and other professional services fees and software licensing costs increased compared to the prior year. The Data and Analytics Services segment accounted for $1.5 million of the increase, while the IT Staffing Services segment accounted for $1.4 million, reflecting similar cost drivers across both segments.</w:t>
      </w:r>
    </w:p>
    <w:p>
      <w:pPr>
        <w:spacing w:after="0" w:line="93" w:lineRule="exact"/>
        <w:rPr>
          <w:rFonts w:ascii="Arial" w:cs="Arial" w:eastAsia="Arial" w:hAnsi="Arial"/>
          <w:sz w:val="20"/>
          <w:szCs w:val="20"/>
          <w:color w:val="231F20"/>
        </w:rPr>
      </w:pPr>
    </w:p>
    <w:p>
      <w:pPr>
        <w:ind w:left="840" w:right="700" w:hanging="350"/>
        <w:spacing w:after="0" w:line="276" w:lineRule="auto"/>
        <w:tabs>
          <w:tab w:leader="none" w:pos="84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Amortization of acquired intangible assets was $2.6 million in 2025 versus $2.7 million in 2024, as a portion of our intangible assets became fully amortized in 2025.</w:t>
      </w:r>
    </w:p>
    <w:p>
      <w:pPr>
        <w:spacing w:after="0" w:line="64" w:lineRule="exact"/>
        <w:rPr>
          <w:rFonts w:ascii="Arial" w:cs="Arial" w:eastAsia="Arial" w:hAnsi="Arial"/>
          <w:sz w:val="20"/>
          <w:szCs w:val="20"/>
          <w:color w:val="231F20"/>
        </w:rPr>
      </w:pPr>
    </w:p>
    <w:p>
      <w:pPr>
        <w:ind w:left="840" w:right="500" w:hanging="350"/>
        <w:spacing w:after="0" w:line="276" w:lineRule="auto"/>
        <w:tabs>
          <w:tab w:leader="none" w:pos="84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Severance expense totaled $2.8 million in 2025 versus $2.1 million in 2024. Severance in both years largely related to executive leadership departures.</w:t>
      </w:r>
    </w:p>
    <w:p>
      <w:pPr>
        <w:spacing w:after="0" w:line="64" w:lineRule="exact"/>
        <w:rPr>
          <w:rFonts w:ascii="Arial" w:cs="Arial" w:eastAsia="Arial" w:hAnsi="Arial"/>
          <w:sz w:val="20"/>
          <w:szCs w:val="20"/>
          <w:color w:val="231F20"/>
        </w:rPr>
      </w:pPr>
    </w:p>
    <w:p>
      <w:pPr>
        <w:ind w:left="840" w:right="20" w:hanging="350"/>
        <w:spacing w:after="0" w:line="247" w:lineRule="auto"/>
        <w:tabs>
          <w:tab w:leader="none" w:pos="84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Finance and accounting transition expenses totaled $1.9 million in 2025, compared to no comparable expense in 2024. These costs were incurred in connection with the Board of Directors’ decision to transition the Company’s finance and accounting functions to India as part of a long-term cost optimization initiative. The expenses primarily consisted of severance, retention bonuses, and travel costs associated with training and knowledge transfer activities. The transition was completed as of December 31, 2025, and the Company does not expect to incur additional finance and accounting transition expenses in future periods.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 (Expense) Components</w:t>
      </w:r>
    </w:p>
    <w:p>
      <w:pPr>
        <w:spacing w:after="0" w:line="12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In 2025, other income consisted of net interest income of $844,000 and foreign exchange gains of $217,000. In 2024, other income consisted of interest income of $606,000 and foreign exchange gains of $27,000. The increase in interest income was due to a higher balance of cash on hand in 2025 compared to 2024. Net foreign exchange gains in 2025 compared to 2024 reflected exchange rate variations between the Indian rupee and the Canadian dollar compared to the U.S. dollar.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Income tax expense for 2025 was $0.5 million and represented an effective tax rate on pre-tax income of 42.7%, compared to $1.0 million in 2024, which represented an effective tax rate on pre-tax income of 23.1%. The 2025 effective tax rate was largely impacted by disallowed executive compensation and return to provision items, compared to 2024 which was largely impacted by a worthless stock deduction recognized on the dissolution of our Singapore entity in 2024. Both periods were impacted by shortfalls in expected tax benefits from stock options/restricted stock and state income taxes. See additional information in Note 11.</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800"/>
          </w:cols>
          <w:pgMar w:left="540" w:top="750" w:right="54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231F20"/>
        </w:rPr>
        <w:t>2024 Compared to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Revenues for the year ended December 31, 2024 totaled $198.9 million, compared to $201.1 million for the year ended December 31, 2023. This 1.1% decline in total revenues reflected an increase in revenues of 6.6% in our Data and Analytics Services segment and a 2.6% revenue decrease in our IT Staffing Services segment. Both segments showed revenue run-rate improvements when comparing the fourth quarter of 2024 to the fourth quarter of 2023.</w:t>
      </w:r>
    </w:p>
    <w:p>
      <w:pPr>
        <w:spacing w:after="0" w:line="19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Our Data and Analytics Services segment’s 2024 revenues increased to $36.6 million from $34.4 million in 2023. This increase was largely due to an increase in client spending on existing projects and a strong bookings performance in the fourth quarter of 2023. Bookings in 2024 totaled $41 million, in-line with full year 2023’s bookings performance.</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IT Staffing Services segment’s 2024 revenues declined modestly, compared to 2023 revenues due to a lower average level of billable consultants during the first half of 2024 compared to the first half of 2023. However, we ended 2024 with 1,008 billable consultants, compared to 946 billable consultants at the end of 2023, an increase of 6.6%. Our average IT staffing bill rate for 2024 totaled $82.77 per hour compared to $78.84 per hour in 2023. This bill rate increase was due to higher rates on new assignments and was reflective of the type of skill sets that we deployed. Permanent placement / fee revenues totaled $0.9 million in 2024, compared to $0.8 million in 2023.</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In 2024, we had two clients that exceeded 10% of total revenues (CGI = 14.5% and Populus = 10.7%). In 2023, we had one client that exceeded 10% of total revenues (CGI = 22.5%). Our top ten clients represented 54% of total revenues in 2024 and 53% of total revenues in 2023. Additionally, our largest industry vertical, financial services, represented approximately 49% of total revenues in 2024, compared to approximately 50% in 2023.</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Gross Margin</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Gross profit increased to $55.6 million in 2024, compared to $51.0 million in 2023, an increase of 8.9% on a year-over-basis.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Gross profit as a percentage of revenue totaled 27.9% in 2024, compared to 25.4% in 2023.</w:t>
      </w:r>
    </w:p>
    <w:p>
      <w:pPr>
        <w:spacing w:after="0" w:line="212"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Gross margins from our Data and Analytics Services segment in 2024 were 49.1%, which was 560-basis points higher than the 43.5% gross margins that we achieved in 2023. The increase reflected higher utilization and improved delivery efficiencies during 2024 when compared to 2023.</w:t>
      </w:r>
    </w:p>
    <w:p>
      <w:pPr>
        <w:spacing w:after="0" w:line="188" w:lineRule="exact"/>
        <w:rPr>
          <w:sz w:val="20"/>
          <w:szCs w:val="20"/>
          <w:color w:val="auto"/>
        </w:rPr>
      </w:pPr>
    </w:p>
    <w:p>
      <w:pPr>
        <w:jc w:val="both"/>
        <w:ind w:right="460" w:firstLine="490"/>
        <w:spacing w:after="0" w:line="258" w:lineRule="auto"/>
        <w:rPr>
          <w:sz w:val="20"/>
          <w:szCs w:val="20"/>
          <w:color w:val="auto"/>
        </w:rPr>
      </w:pPr>
      <w:r>
        <w:rPr>
          <w:rFonts w:ascii="Times New Roman" w:cs="Times New Roman" w:eastAsia="Times New Roman" w:hAnsi="Times New Roman"/>
          <w:sz w:val="20"/>
          <w:szCs w:val="20"/>
          <w:color w:val="231F20"/>
        </w:rPr>
        <w:t>Gross margins in our IT Staffing Services segment were 23.2% in 2024, compared to 21.6% in 2023. This 160-basis point increase was due to higher gross margins on new assignments and favorable medical claim experience related to our self-insured program during 2024 when compared to 2023.</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(“SG&amp;A”) Expenses</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SG&amp;A expenses in 2024 totaled $51.8 million and represented 26.0% of total revenues, compared to $60.3 million or 30.0% of revenues in 2023. When excluding the amortization of acquired intangible assets and severance expenses in 2024, and the amortization of acquired intangible assets, severance expenses, an employment-related claim, net of recoveries, and goodwill impairment in 2023, the adjusted SG&amp;A expenses related to operations as a percentage of revenues was 23.6% in 2024 versus 23.2% in 2023. The increase in SG&amp;A as a percentage of revenues, excluding these items mentioned above, was largely due to higher sales expense in both business segments, partially offset by lower general and administrative expenses.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Fluctuations within SG&amp;A expense components during 2024 compared to 2023 included the following:</w:t>
      </w:r>
    </w:p>
    <w:p>
      <w:pPr>
        <w:spacing w:after="0" w:line="134" w:lineRule="exact"/>
        <w:rPr>
          <w:sz w:val="20"/>
          <w:szCs w:val="20"/>
          <w:color w:val="auto"/>
        </w:rPr>
      </w:pPr>
    </w:p>
    <w:p>
      <w:pPr>
        <w:ind w:left="840" w:right="20" w:hanging="350"/>
        <w:spacing w:after="0" w:line="252" w:lineRule="auto"/>
        <w:tabs>
          <w:tab w:leader="none" w:pos="84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expense was $1.6 million higher in 2024 compared to the previous year. In the Data and Analytics Services segment, sales expense increased by $0.8 million due to an increase in marketing and event expenses and higher compensation expenses. IT staffing sales expense increased by $0.8 million due to higher commissions and bonus expense of $0.5 million and higher variable expense items due to increased activity levels in 2024.</w:t>
      </w:r>
    </w:p>
    <w:p>
      <w:pPr>
        <w:spacing w:after="0" w:line="87" w:lineRule="exact"/>
        <w:rPr>
          <w:rFonts w:ascii="Arial" w:cs="Arial" w:eastAsia="Arial" w:hAnsi="Arial"/>
          <w:sz w:val="20"/>
          <w:szCs w:val="20"/>
          <w:color w:val="231F20"/>
        </w:rPr>
      </w:pPr>
    </w:p>
    <w:p>
      <w:pPr>
        <w:jc w:val="both"/>
        <w:ind w:left="840" w:right="180" w:hanging="350"/>
        <w:spacing w:after="0" w:line="258" w:lineRule="auto"/>
        <w:tabs>
          <w:tab w:leader="none" w:pos="84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Operations expense decreased by $0.4 million compared to 2023. In our Data and Analytics Services segment, operations expense decreased by $0.6 million due to lower staff headcount. Operations expense in our IT Staffing Services segment increased $0.2 million in 2024, due to higher commission expenses largely during the second half of the year.</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760"/>
          </w:cols>
          <w:pgMar w:left="540" w:top="746" w:right="580" w:bottom="0" w:gutter="0" w:footer="0" w:header="0"/>
          <w:type w:val="continuous"/>
        </w:sectPr>
      </w:pPr>
    </w:p>
    <w:bookmarkStart w:id="42" w:name="page43"/>
    <w:bookmarkEnd w:id="42"/>
    <w:p>
      <w:pPr>
        <w:ind w:left="840" w:right="160" w:hanging="350"/>
        <w:spacing w:after="0" w:line="249" w:lineRule="auto"/>
        <w:tabs>
          <w:tab w:leader="none" w:pos="84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&amp; administrative expenses decreased by $0.9 million in 2024 compared to 2023. Our Data and Analytics Services segment was responsible for $2.2 million of this decline due to lower executive leadership staff and professional services expense related to an employment-related claim in 2023. The IT Staffing Services segment had higher general and administrative expenses in 2024 of $1.3 million compared to 2023, largely due to strategic consulting expenses related to our Primentor agreement and higher bonus expenses.</w:t>
      </w:r>
    </w:p>
    <w:p>
      <w:pPr>
        <w:spacing w:after="0" w:line="90" w:lineRule="exact"/>
        <w:rPr>
          <w:rFonts w:ascii="Arial" w:cs="Arial" w:eastAsia="Arial" w:hAnsi="Arial"/>
          <w:sz w:val="20"/>
          <w:szCs w:val="20"/>
          <w:color w:val="231F20"/>
        </w:rPr>
      </w:pPr>
    </w:p>
    <w:p>
      <w:pPr>
        <w:ind w:left="840" w:right="700" w:hanging="350"/>
        <w:spacing w:after="0" w:line="276" w:lineRule="auto"/>
        <w:tabs>
          <w:tab w:leader="none" w:pos="84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Amortization of acquired intangible assets was $2.7 million in 2024 versus $2.8 million in 2023, as a portion of our intangible assets became fully amortized in 2024.</w:t>
      </w:r>
    </w:p>
    <w:p>
      <w:pPr>
        <w:spacing w:after="0" w:line="64" w:lineRule="exact"/>
        <w:rPr>
          <w:rFonts w:ascii="Arial" w:cs="Arial" w:eastAsia="Arial" w:hAnsi="Arial"/>
          <w:sz w:val="20"/>
          <w:szCs w:val="20"/>
          <w:color w:val="231F20"/>
        </w:rPr>
      </w:pPr>
    </w:p>
    <w:p>
      <w:pPr>
        <w:ind w:left="840" w:right="500" w:hanging="350"/>
        <w:spacing w:after="0" w:line="276" w:lineRule="auto"/>
        <w:tabs>
          <w:tab w:leader="none" w:pos="84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Severance expense totaled $2.1 million in 2024 versus $2.4 million in 2023. Severance in both years largely related to executive leadership departures.</w:t>
      </w:r>
    </w:p>
    <w:p>
      <w:pPr>
        <w:spacing w:after="0" w:line="64" w:lineRule="exact"/>
        <w:rPr>
          <w:rFonts w:ascii="Arial" w:cs="Arial" w:eastAsia="Arial" w:hAnsi="Arial"/>
          <w:sz w:val="20"/>
          <w:szCs w:val="20"/>
          <w:color w:val="231F20"/>
        </w:rPr>
      </w:pPr>
    </w:p>
    <w:p>
      <w:pPr>
        <w:ind w:left="840" w:hanging="350"/>
        <w:spacing w:after="0"/>
        <w:tabs>
          <w:tab w:leader="none" w:pos="84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An employment-related claim expense, net of recoveries, totaled $3.1 million in 2023, compared to no expense in 2024.</w:t>
      </w:r>
    </w:p>
    <w:p>
      <w:pPr>
        <w:spacing w:after="0" w:line="133" w:lineRule="exact"/>
        <w:rPr>
          <w:rFonts w:ascii="Arial" w:cs="Arial" w:eastAsia="Arial" w:hAnsi="Arial"/>
          <w:sz w:val="20"/>
          <w:szCs w:val="20"/>
          <w:color w:val="231F20"/>
        </w:rPr>
      </w:pPr>
    </w:p>
    <w:p>
      <w:pPr>
        <w:ind w:left="840" w:right="220" w:hanging="350"/>
        <w:spacing w:after="0" w:line="276" w:lineRule="auto"/>
        <w:tabs>
          <w:tab w:leader="none" w:pos="84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A goodwill impairment charge totaled $5.3 million in 2023, compared to no impairment charge in 2024. The 2023 charge pertained to our Data and Analytics Services segment.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Income / (Expense) Components</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In 2024, other income / (expense) consisted of net interest income of $606,000 and foreign exchange gains of $27,000. In 2023, other income / (expense) consisted of interest income of $319,000 and foreign exchange losses of ($75,000). The increase in interest income was due to a higher balance of cash on hand in 2024 compared to 2023, partially offset by interest rate reductions in 2024. Net foreign exchange gains (losses) in 2024 compared to 2023 reflected exchange rate variations between the Indian rupee and the Canadian dollar compared to the U.S. dollar.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w:t>
      </w:r>
    </w:p>
    <w:p>
      <w:pPr>
        <w:spacing w:after="0" w:line="12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Income tax expense (benefit) for 2024 was $1.0 million and represented an effective tax rate on pre-tax income of 23.1%, compared to ($1.9 million) in 2023, which represented an effective tax rate on pre-tax (loss) of (21.0%). The 2024 effective tax rate compared to 2023 reflected a worthless stock deduction recognized on the dissolution of our Singapore entity in 2024.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Financial Conditions and Liquidity</w:t>
      </w:r>
    </w:p>
    <w:p>
      <w:pPr>
        <w:spacing w:after="0" w:line="120"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31F20"/>
        </w:rPr>
        <w:t>On December 31, 2025, we had cash balances on hand of $36.5 million, no bank debt outstanding and approximately $19.9 million of borrowing capacity under our existing credit facility.</w:t>
      </w:r>
    </w:p>
    <w:p>
      <w:pPr>
        <w:spacing w:after="0" w:line="192"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Historically, we have funded our business needs with cash generation from operating activities. In the data and analytics services and IT staffing services industries, investment in operating working capital levels (defined as current assets excluding cash and cash equivalents minus current liabilities, excluding short-term borrowings) is a significant use of cash. Controlling our operating working capital levels by closely managing our accounts receivable balance is an important element of cash preservation. Our accounts receivable “days sales outstanding” measurement (“DSO”) at year-end 2025 increased slightly to 54-days compared to 52-days at year-end 2024.</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Cash provided by operating activities, our cash and cash equivalent balances on hand at December 31, 2025 and current availability under our existing credit facility are expected to be adequate to fund our business needs over the next 12 months, including potential repurchases under the $5.0 million share repurchase authorization approved by our Board of Directors on February 16, 2026, but excluding any significant acquisition-related activities.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Below is a tabular presentation of cash flow activities for the periods discussed: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6"/>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61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Cash Flows Activities</w:t>
            </w:r>
          </w:p>
        </w:tc>
        <w:tc>
          <w:tcPr>
            <w:tcW w:w="16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120" w:type="dxa"/>
            <w:vAlign w:val="bottom"/>
            <w:tcBorders>
              <w:bottom w:val="single" w:sz="8" w:color="231F20"/>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120" w:type="dxa"/>
            <w:vAlign w:val="bottom"/>
            <w:tcBorders>
              <w:bottom w:val="single" w:sz="8" w:color="231F20"/>
            </w:tcBorders>
          </w:tcPr>
          <w:p>
            <w:pPr>
              <w:jc w:val="right"/>
              <w:ind w:right="50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r>
      <w:tr>
        <w:trPr>
          <w:trHeight w:val="193"/>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w w:val="92"/>
              </w:rPr>
              <w:t>(Amounts in millions)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Operating activities</w:t>
            </w:r>
          </w:p>
        </w:tc>
        <w:tc>
          <w:tcPr>
            <w:tcW w:w="44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E6E7E8"/>
          </w:tcPr>
          <w:p>
            <w:pPr>
              <w:jc w:val="right"/>
              <w:ind w:right="28"/>
              <w:spacing w:after="0"/>
              <w:rPr>
                <w:sz w:val="20"/>
                <w:szCs w:val="20"/>
                <w:color w:val="auto"/>
              </w:rPr>
            </w:pPr>
            <w:r>
              <w:rPr>
                <w:rFonts w:ascii="Times New Roman" w:cs="Times New Roman" w:eastAsia="Times New Roman" w:hAnsi="Times New Roman"/>
                <w:sz w:val="20"/>
                <w:szCs w:val="20"/>
                <w:color w:val="231F20"/>
              </w:rPr>
              <w:t>11.1</w:t>
            </w:r>
          </w:p>
        </w:tc>
        <w:tc>
          <w:tcPr>
            <w:tcW w:w="440" w:type="dxa"/>
            <w:vAlign w:val="bottom"/>
            <w:gridSpan w:val="2"/>
            <w:shd w:val="clear" w:color="auto" w:fill="E6E7E8"/>
          </w:tcPr>
          <w:p>
            <w:pPr>
              <w:ind w:left="1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shd w:val="clear" w:color="auto" w:fill="E6E7E8"/>
          </w:tcPr>
          <w:p>
            <w:pPr>
              <w:jc w:val="right"/>
              <w:ind w:right="25"/>
              <w:spacing w:after="0"/>
              <w:rPr>
                <w:sz w:val="20"/>
                <w:szCs w:val="20"/>
                <w:color w:val="auto"/>
              </w:rPr>
            </w:pPr>
            <w:r>
              <w:rPr>
                <w:rFonts w:ascii="Times New Roman" w:cs="Times New Roman" w:eastAsia="Times New Roman" w:hAnsi="Times New Roman"/>
                <w:sz w:val="20"/>
                <w:szCs w:val="20"/>
                <w:color w:val="231F20"/>
              </w:rPr>
              <w:t>7.2</w:t>
            </w:r>
          </w:p>
        </w:tc>
        <w:tc>
          <w:tcPr>
            <w:tcW w:w="440" w:type="dxa"/>
            <w:vAlign w:val="bottom"/>
            <w:gridSpan w:val="2"/>
            <w:shd w:val="clear" w:color="auto" w:fill="E6E7E8"/>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80" w:type="dxa"/>
            <w:vAlign w:val="bottom"/>
            <w:shd w:val="clear" w:color="auto" w:fill="E6E7E8"/>
          </w:tcPr>
          <w:p>
            <w:pPr>
              <w:spacing w:after="0"/>
              <w:rPr>
                <w:sz w:val="21"/>
                <w:szCs w:val="21"/>
                <w:color w:val="auto"/>
              </w:rPr>
            </w:pPr>
          </w:p>
        </w:tc>
      </w:tr>
      <w:tr>
        <w:trPr>
          <w:trHeight w:val="244"/>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231F20"/>
              </w:rPr>
              <w:t>Investing activities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(0.2)</w:t>
            </w:r>
          </w:p>
        </w:tc>
      </w:tr>
      <w:tr>
        <w:trPr>
          <w:trHeight w:val="244"/>
        </w:trPr>
        <w:tc>
          <w:tcPr>
            <w:tcW w:w="6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Financing activities</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5"/>
              <w:spacing w:after="0"/>
              <w:rPr>
                <w:sz w:val="20"/>
                <w:szCs w:val="20"/>
                <w:color w:val="auto"/>
              </w:rPr>
            </w:pPr>
            <w:r>
              <w:rPr>
                <w:rFonts w:ascii="Times New Roman" w:cs="Times New Roman" w:eastAsia="Times New Roman" w:hAnsi="Times New Roman"/>
                <w:sz w:val="20"/>
                <w:szCs w:val="20"/>
                <w:color w:val="231F20"/>
              </w:rPr>
              <w:t>0.7</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-749300</wp:posOffset>
            </wp:positionV>
            <wp:extent cx="284734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800"/>
          </w:cols>
          <w:pgMar w:left="540" w:top="764" w:right="5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35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Cash provided by (used in) operating activities for the years ended December 31, 2025, 2024 and 2023 totaled $11.1 million, $7.2 million, and $16.0 million, respectively. In 2025, cash flows from operating activities included net income of $0.6 million, non-cash charges of $3.2 million and a decrease in operating working capital of $7.4 million. In 2024, cash flows from operating activities included net income of $3.4 million, non-cash charges of $6.1 million and an increase in operating working capital of ($2.3 million). In 2023, cash flows from operating activities included a net (loss) of ($7.1 million), non-cash charges of $10.6 million and decreases in operating working capital of $12.5 million. The 2025 reduction in operating working capital was primarily due to lower accounts receivable, reflecting decreased revenue levels and the timing of billings and collections, as well as decreases in prepaid and other current assets. These favorable working capital changes were partially offset by a $2.0 million payment of deferred compensation during 2025. The 2024 increase in operating working capital reflected higher activities levels as accounts receivable and prepaid expenses increased. The 2023 reduction in operating working capital was due to lower accounts receivable, reflecting significant revenue declines during the year.</w:t>
      </w:r>
    </w:p>
    <w:p>
      <w:pPr>
        <w:spacing w:after="0" w:line="89"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Operating working capital levels are generally correlated with revenue trends. If revenue levels increase in future periods, we would expect operating working capital requirements to increase accordingly, which could reduce cash generated from operating activities. Conversely, sustained lower revenue levels may result in reduced working capital requirements.</w:t>
      </w:r>
    </w:p>
    <w:p>
      <w:pPr>
        <w:spacing w:after="0" w:line="108"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231F20"/>
        </w:rPr>
        <w:t>Days sales outstanding may fluctuate based on revenue mix, as data and analytics services engagements typically experience higher DSO levels than IT staffing engagements. Changes in revenue composition could therefore impact overall working capital requirements in future periods.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Cash (used in) investing activities for the years ended December 31, 2025, 2024 and 2023 totaled $(0.5) million, $(0.9)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and $(0.2) million, respectively. In 2025, cash (used in) investing activities was primarily comprised of capital expenditures totaling</w:t>
      </w:r>
    </w:p>
    <w:p>
      <w:pPr>
        <w:spacing w:after="0"/>
        <w:rPr>
          <w:sz w:val="20"/>
          <w:szCs w:val="20"/>
          <w:color w:val="auto"/>
        </w:rPr>
      </w:pPr>
      <w:r>
        <w:rPr>
          <w:rFonts w:ascii="Times New Roman" w:cs="Times New Roman" w:eastAsia="Times New Roman" w:hAnsi="Times New Roman"/>
          <w:sz w:val="20"/>
          <w:szCs w:val="20"/>
          <w:color w:val="231F20"/>
        </w:rPr>
        <w:t>($0.4) million and payments of ($0.1) million for non-current deposits. In 2024, cash (used in) investing activities consisted entirely of</w:t>
      </w:r>
    </w:p>
    <w:p>
      <w:pPr>
        <w:spacing w:after="0"/>
        <w:rPr>
          <w:sz w:val="20"/>
          <w:szCs w:val="20"/>
          <w:color w:val="auto"/>
        </w:rPr>
      </w:pPr>
      <w:r>
        <w:rPr>
          <w:rFonts w:ascii="Times New Roman" w:cs="Times New Roman" w:eastAsia="Times New Roman" w:hAnsi="Times New Roman"/>
          <w:sz w:val="20"/>
          <w:szCs w:val="20"/>
          <w:color w:val="231F20"/>
        </w:rPr>
        <w:t>capital expenditures totaling ($0.9) million, largely related to computer equipment and cyber-security investments. In 2023, cash (used</w:t>
      </w:r>
    </w:p>
    <w:p>
      <w:pPr>
        <w:spacing w:after="0"/>
        <w:rPr>
          <w:sz w:val="20"/>
          <w:szCs w:val="20"/>
          <w:color w:val="auto"/>
        </w:rPr>
      </w:pPr>
      <w:r>
        <w:rPr>
          <w:rFonts w:ascii="Times New Roman" w:cs="Times New Roman" w:eastAsia="Times New Roman" w:hAnsi="Times New Roman"/>
          <w:sz w:val="20"/>
          <w:szCs w:val="20"/>
          <w:color w:val="231F20"/>
        </w:rPr>
        <w:t>in) investing activities consisted of ($0.3) million of capital expenditures and a $0.1 million recovery of non-current office lease</w:t>
      </w:r>
    </w:p>
    <w:p>
      <w:pPr>
        <w:spacing w:after="0"/>
        <w:rPr>
          <w:sz w:val="20"/>
          <w:szCs w:val="20"/>
          <w:color w:val="auto"/>
        </w:rPr>
      </w:pPr>
      <w:r>
        <w:rPr>
          <w:rFonts w:ascii="Times New Roman" w:cs="Times New Roman" w:eastAsia="Times New Roman" w:hAnsi="Times New Roman"/>
          <w:sz w:val="20"/>
          <w:szCs w:val="20"/>
          <w:color w:val="231F20"/>
        </w:rPr>
        <w:t>deposits.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In 2025, cash (used in) financing activities totaled ($1.1 million) and included ($ 2.2 million) for the repurchase of common stock under the Company’s share repurchase program, partially offset by $1 million of proceeds from the exercise of stock options and $0.1 million of proceeds from the issuance of common shares under our employee stock purchase plan. In 2024, cash provided by financing activities totaled $0.7 million and included $0.2 million of proceeds from the issuance of common shares under our employee stock purchase plan and $0.5 million of proceeds from the exercise of stock options, partially offset by the repurchase of common stock under the Company’s share repurchase program. In 2023, cash (used in) financing activities totaled ($ 1.6 million) and included ($ 1.1 million) of debt repayments, ($0.6 million) of common stock repurchases, partially offset by proceeds from our issuance of common shares under our employee stock purchase plan.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2024 Primentor, Inc. Consulting Agreement</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On January 12, 2024, the Company entered into a consulting agreement with Primentor, Inc. to provide strategic advisory and management consulting services, as well as any other business and organizational strategy services as the Board of Directors of the Company may reasonably request from time to time. During 2025 and 2024, the Company incurred consulting expenses of approximately $0.5 million and $0.4 million related to these services. For 2026, the Company expects to pay Primentor approximately $0.2 million.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2023 Employment-Related Claims Against the Company</w:t>
      </w:r>
    </w:p>
    <w:p>
      <w:pPr>
        <w:spacing w:after="0" w:line="12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31F20"/>
        </w:rPr>
        <w:t>As disclosed in Note 8 “Commitment and Contingencies” to the Notes to the Consolidated Financial Statements, included in Item 8 herein, a former employee who resigned from his employment with the Company in November 2022 asserted various employment-related claims against the Company. During the third quarter of 2023, the Company settled this claim for $3.1 million, net of recoveries, under the terms of a confidential settlement agreement. In addition to the settlement amount, we incurred</w:t>
      </w:r>
    </w:p>
    <w:p>
      <w:pPr>
        <w:sectPr>
          <w:pgSz w:w="11880" w:h="15480" w:orient="portrait"/>
          <w:cols w:equalWidth="0" w:num="1">
            <w:col w:w="10800"/>
          </w:cols>
          <w:pgMar w:left="540" w:top="110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800"/>
          </w:cols>
          <w:pgMar w:left="540" w:top="1100" w:right="540" w:bottom="0" w:gutter="0" w:footer="0" w:header="0"/>
          <w:type w:val="continuous"/>
        </w:sectPr>
      </w:pPr>
    </w:p>
    <w:bookmarkStart w:id="44" w:name="page45"/>
    <w:bookmarkEnd w:id="44"/>
    <w:p>
      <w:pPr>
        <w:spacing w:after="0" w:line="277" w:lineRule="auto"/>
        <w:rPr>
          <w:sz w:val="20"/>
          <w:szCs w:val="20"/>
          <w:color w:val="auto"/>
        </w:rPr>
      </w:pPr>
      <w:r>
        <w:rPr>
          <w:rFonts w:ascii="Times New Roman" w:cs="Times New Roman" w:eastAsia="Times New Roman" w:hAnsi="Times New Roman"/>
          <w:sz w:val="20"/>
          <w:szCs w:val="20"/>
          <w:color w:val="231F20"/>
        </w:rPr>
        <w:t>approximately $0.9 million in professional services fees related to this matter during 2023. The settlement amount and the professional fees are included in selling, general and administrative expenses in the Consolidated Statements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2025 Finance and Accounting Functions to be Transitioned to India from the U.S.</w:t>
      </w:r>
    </w:p>
    <w:p>
      <w:pPr>
        <w:spacing w:after="0" w:line="12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During the first quarter of 2025, the Board of Directors approved a long-term cost optimization initiative to transition the Company’s finance and accounting functions from the United States to India. The transition was completed as of December 31, 2025. During 2025, the Company incurred approximately $1.9 million of transition-related expenses, consisting primarily of severance, retention bonuses, and travel costs associated with training and knowledge transfer activities. These expenses were included within general and administrative expenses.</w:t>
      </w:r>
    </w:p>
    <w:p>
      <w:pPr>
        <w:spacing w:after="0" w:line="77"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231F20"/>
        </w:rPr>
        <w:t>The Company does not expect to incur additional transition-related expenses in future periods as the initiative has been fully implemented. The Company expects this initiative to generate annualized cost savings of approximately $1.2 million beginning in 2026.</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Off-Balance Sheet Arrangements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do not have any off-balance sheet arrangements.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Inflation</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w:t>
      </w:r>
    </w:p>
    <w:p>
      <w:pPr>
        <w:spacing w:after="0" w:line="197" w:lineRule="exact"/>
        <w:rPr>
          <w:sz w:val="20"/>
          <w:szCs w:val="20"/>
          <w:color w:val="auto"/>
        </w:rPr>
      </w:pPr>
    </w:p>
    <w:p>
      <w:pPr>
        <w:ind w:right="640" w:firstLine="490"/>
        <w:spacing w:after="0" w:line="277" w:lineRule="auto"/>
        <w:rPr>
          <w:sz w:val="20"/>
          <w:szCs w:val="20"/>
          <w:color w:val="auto"/>
        </w:rPr>
      </w:pPr>
      <w:r>
        <w:rPr>
          <w:rFonts w:ascii="Times New Roman" w:cs="Times New Roman" w:eastAsia="Times New Roman" w:hAnsi="Times New Roman"/>
          <w:sz w:val="20"/>
          <w:szCs w:val="20"/>
          <w:color w:val="231F20"/>
        </w:rPr>
        <w:t>In addition, refer to “Item 1A. Risk factors” in this annual report on Form 10-K for a discussion about risks that inflation directly or indirectly may pose to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Seasonality</w:t>
      </w:r>
    </w:p>
    <w:p>
      <w:pPr>
        <w:spacing w:after="0" w:line="115"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231F20"/>
        </w:rPr>
        <w:t>Our consultants’ billable hours are affected by national holidays and vacation patterns. Accordingly, we typically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19" w:lineRule="exact"/>
        <w:rPr>
          <w:sz w:val="20"/>
          <w:szCs w:val="20"/>
          <w:color w:val="auto"/>
        </w:rPr>
      </w:pPr>
    </w:p>
    <w:p>
      <w:pPr>
        <w:ind w:right="40" w:firstLine="490"/>
        <w:spacing w:after="0" w:line="241" w:lineRule="auto"/>
        <w:rPr>
          <w:sz w:val="20"/>
          <w:szCs w:val="20"/>
          <w:color w:val="auto"/>
        </w:rPr>
      </w:pPr>
      <w:r>
        <w:rPr>
          <w:rFonts w:ascii="Times New Roman" w:cs="Times New Roman" w:eastAsia="Times New Roman" w:hAnsi="Times New Roman"/>
          <w:sz w:val="20"/>
          <w:szCs w:val="20"/>
          <w:color w:val="231F20"/>
        </w:rPr>
        <w:t>Certain accounting policies are particularly important to the portrayal of our financial position, results of operations and cash flows and require the application of significant judgment by management, and as a result, are subject to an inherent degree of uncertainty. In applying these policies, our management uses judgment to determine the appropriate assumptions to be used in the determination of certain estimates. These estimates are based on our historical experience, terms of existing contracts, observances of industry trends and other available information from outside sources, as appropriate. The following explains our most critical accounting policies. See the Notes to the Consolidated Financial Statements, contained in Item 8, of this Annual Report on Form 10-K for a complete description of our significant accounting policies.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1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historically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9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800"/>
          </w:cols>
          <w:pgMar w:left="540" w:top="750" w:right="540" w:bottom="0" w:gutter="0" w:footer="0" w:header="0"/>
          <w:type w:val="continuous"/>
        </w:sectPr>
      </w:pPr>
    </w:p>
    <w:bookmarkStart w:id="45" w:name="page46"/>
    <w:bookmarkEnd w:id="45"/>
    <w:p>
      <w:pPr>
        <w:spacing w:after="0" w:line="247" w:lineRule="auto"/>
        <w:rPr>
          <w:sz w:val="20"/>
          <w:szCs w:val="20"/>
          <w:color w:val="auto"/>
        </w:rPr>
      </w:pPr>
      <w:r>
        <w:rPr>
          <w:rFonts w:ascii="Times New Roman" w:cs="Times New Roman" w:eastAsia="Times New Roman" w:hAnsi="Times New Roman"/>
          <w:sz w:val="20"/>
          <w:szCs w:val="20"/>
          <w:color w:val="231F20"/>
        </w:rPr>
        <w:t>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5" w:lineRule="exact"/>
        <w:rPr>
          <w:sz w:val="20"/>
          <w:szCs w:val="20"/>
          <w:color w:val="auto"/>
        </w:rPr>
      </w:pPr>
    </w:p>
    <w:p>
      <w:pPr>
        <w:ind w:right="580" w:firstLine="490"/>
        <w:spacing w:after="0" w:line="273" w:lineRule="auto"/>
        <w:rPr>
          <w:sz w:val="20"/>
          <w:szCs w:val="20"/>
          <w:color w:val="auto"/>
        </w:rPr>
      </w:pPr>
      <w:r>
        <w:rPr>
          <w:rFonts w:ascii="Times New Roman" w:cs="Times New Roman" w:eastAsia="Times New Roman" w:hAnsi="Times New Roman"/>
          <w:sz w:val="20"/>
          <w:szCs w:val="20"/>
          <w:color w:val="231F20"/>
        </w:rPr>
        <w:t>The Company’s time-and-material and fixed price revenue streams are recognized over time as the customer receives and consumes the benefits of the Company’s performance as the work is performed.</w:t>
      </w:r>
    </w:p>
    <w:p>
      <w:pPr>
        <w:spacing w:after="0" w:line="168" w:lineRule="exact"/>
        <w:rPr>
          <w:sz w:val="20"/>
          <w:szCs w:val="20"/>
          <w:color w:val="auto"/>
        </w:rPr>
      </w:pPr>
    </w:p>
    <w:p>
      <w:pPr>
        <w:ind w:right="240" w:firstLine="490"/>
        <w:spacing w:after="0" w:line="273" w:lineRule="auto"/>
        <w:rPr>
          <w:sz w:val="20"/>
          <w:szCs w:val="20"/>
          <w:color w:val="auto"/>
        </w:rPr>
      </w:pPr>
      <w:r>
        <w:rPr>
          <w:rFonts w:ascii="Times New Roman" w:cs="Times New Roman" w:eastAsia="Times New Roman" w:hAnsi="Times New Roman"/>
          <w:sz w:val="20"/>
          <w:szCs w:val="20"/>
          <w:color w:val="231F20"/>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 and Allowance for Credit Losses</w:t>
      </w:r>
    </w:p>
    <w:p>
      <w:pPr>
        <w:spacing w:after="0" w:line="115" w:lineRule="exact"/>
        <w:rPr>
          <w:sz w:val="20"/>
          <w:szCs w:val="20"/>
          <w:color w:val="auto"/>
        </w:rPr>
      </w:pPr>
    </w:p>
    <w:p>
      <w:pPr>
        <w:jc w:val="both"/>
        <w:ind w:right="80" w:firstLine="490"/>
        <w:spacing w:after="0" w:line="254" w:lineRule="auto"/>
        <w:rPr>
          <w:sz w:val="20"/>
          <w:szCs w:val="20"/>
          <w:color w:val="auto"/>
        </w:rPr>
      </w:pPr>
      <w:r>
        <w:rPr>
          <w:rFonts w:ascii="Times New Roman" w:cs="Times New Roman" w:eastAsia="Times New Roman" w:hAnsi="Times New Roman"/>
          <w:sz w:val="20"/>
          <w:szCs w:val="20"/>
          <w:color w:val="231F20"/>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86" w:lineRule="exact"/>
        <w:rPr>
          <w:sz w:val="20"/>
          <w:szCs w:val="20"/>
          <w:color w:val="auto"/>
        </w:rPr>
      </w:pPr>
    </w:p>
    <w:p>
      <w:pPr>
        <w:ind w:right="180" w:firstLine="490"/>
        <w:spacing w:after="0" w:line="273" w:lineRule="auto"/>
        <w:rPr>
          <w:sz w:val="20"/>
          <w:szCs w:val="20"/>
          <w:color w:val="auto"/>
        </w:rPr>
      </w:pPr>
      <w:r>
        <w:rPr>
          <w:rFonts w:ascii="Times New Roman" w:cs="Times New Roman" w:eastAsia="Times New Roman" w:hAnsi="Times New Roman"/>
          <w:sz w:val="20"/>
          <w:szCs w:val="20"/>
          <w:color w:val="231F20"/>
        </w:rPr>
        <w:t>Unbilled receivables represent amounts recognized as revenues based on services performed and, in accordance with the terms of the client contract, will be invoiced in a subsequent period.</w:t>
      </w:r>
    </w:p>
    <w:p>
      <w:pPr>
        <w:spacing w:after="0" w:line="168" w:lineRule="exact"/>
        <w:rPr>
          <w:sz w:val="20"/>
          <w:szCs w:val="20"/>
          <w:color w:val="auto"/>
        </w:rPr>
      </w:pPr>
    </w:p>
    <w:p>
      <w:pPr>
        <w:jc w:val="both"/>
        <w:ind w:right="400" w:firstLine="490"/>
        <w:spacing w:after="0" w:line="254" w:lineRule="auto"/>
        <w:rPr>
          <w:sz w:val="20"/>
          <w:szCs w:val="20"/>
          <w:color w:val="auto"/>
        </w:rPr>
      </w:pPr>
      <w:r>
        <w:rPr>
          <w:rFonts w:ascii="Times New Roman" w:cs="Times New Roman" w:eastAsia="Times New Roman" w:hAnsi="Times New Roman"/>
          <w:sz w:val="20"/>
          <w:szCs w:val="20"/>
          <w:color w:val="231F20"/>
        </w:rPr>
        <w:t>Accounts receivables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Intangible Assets</w:t>
      </w:r>
    </w:p>
    <w:p>
      <w:pPr>
        <w:spacing w:after="0" w:line="115"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202"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88" w:lineRule="exact"/>
        <w:rPr>
          <w:sz w:val="20"/>
          <w:szCs w:val="20"/>
          <w:color w:val="auto"/>
        </w:rPr>
      </w:pPr>
    </w:p>
    <w:p>
      <w:pPr>
        <w:jc w:val="both"/>
        <w:ind w:right="120" w:firstLine="490"/>
        <w:spacing w:after="0" w:line="249" w:lineRule="auto"/>
        <w:rPr>
          <w:sz w:val="20"/>
          <w:szCs w:val="20"/>
          <w:color w:val="auto"/>
        </w:rPr>
      </w:pPr>
      <w:r>
        <w:rPr>
          <w:rFonts w:ascii="Times New Roman" w:cs="Times New Roman" w:eastAsia="Times New Roman" w:hAnsi="Times New Roman"/>
          <w:sz w:val="20"/>
          <w:szCs w:val="20"/>
          <w:color w:val="231F20"/>
        </w:rPr>
        <w:t>We review goodwill and intangible assets for impairment annually as of October 1</w:t>
      </w:r>
      <w:r>
        <w:rPr>
          <w:rFonts w:ascii="Times New Roman" w:cs="Times New Roman" w:eastAsia="Times New Roman" w:hAnsi="Times New Roman"/>
          <w:sz w:val="10"/>
          <w:szCs w:val="10"/>
          <w:color w:val="231F20"/>
        </w:rPr>
        <w:t>st</w:t>
      </w:r>
      <w:r>
        <w:rPr>
          <w:rFonts w:ascii="Times New Roman" w:cs="Times New Roman" w:eastAsia="Times New Roman" w:hAnsi="Times New Roman"/>
          <w:sz w:val="20"/>
          <w:szCs w:val="20"/>
          <w:color w:val="231F20"/>
        </w:rPr>
        <w:t xml:space="preserve"> or more frequently if events or changes in circumstances indicate that the carrying value of the assets may not be recoverable. The impairment test is performed at the reporting unit (business segment)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197"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231F20"/>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In 2025, 2024 and 2023, we performed quantitative impairment tests related to our IT Staffing Services segment, which includes our June 2015 acquisition of Hudson Global Resources Management, Inc.’s U.S. IT staffing business (“Hudson IT”). The results of each of these testing’s indicated no impairment associated with the carrying amount of goodwill.</w:t>
      </w:r>
    </w:p>
    <w:p>
      <w:pPr>
        <w:spacing w:after="0" w:line="18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Additionally in 2025, 2024 and 2023, we performed quantitative impairment tests related to our Data and Analytics Services segment which includes the July 2017 acquisition of InfoTrellis and the October 2020 acquisition of AmberLeaf. The results of the 2025 and 2024 testing’s indicated no impairment associated with the carrying amount of goodwill. On October 1, 2023, our annual impairment testing date, we did not identify an 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ectPr>
          <w:pgSz w:w="11880" w:h="15480" w:orient="portrait"/>
          <w:cols w:equalWidth="0" w:num="1">
            <w:col w:w="10800"/>
          </w:cols>
          <w:pgMar w:left="540" w:top="746" w:right="54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800"/>
          </w:cols>
          <w:pgMar w:left="540" w:top="746" w:right="5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Operating 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Combinations</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Company accounts for acquisitions in accordance with guidance found in ASC 805, </w:t>
      </w:r>
      <w:r>
        <w:rPr>
          <w:rFonts w:ascii="Times New Roman" w:cs="Times New Roman" w:eastAsia="Times New Roman" w:hAnsi="Times New Roman"/>
          <w:sz w:val="20"/>
          <w:szCs w:val="20"/>
          <w:i w:val="1"/>
          <w:iCs w:val="1"/>
          <w:color w:val="231F20"/>
        </w:rPr>
        <w:t>Business Combinations</w:t>
      </w:r>
      <w:r>
        <w:rPr>
          <w:rFonts w:ascii="Times New Roman" w:cs="Times New Roman" w:eastAsia="Times New Roman" w:hAnsi="Times New Roman"/>
          <w:sz w:val="20"/>
          <w:szCs w:val="20"/>
          <w:color w:val="231F20"/>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affect income tax expense.</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Stock-Based Compensation</w:t>
      </w:r>
    </w:p>
    <w:p>
      <w:pPr>
        <w:spacing w:after="0" w:line="240" w:lineRule="exact"/>
        <w:rPr>
          <w:sz w:val="20"/>
          <w:szCs w:val="20"/>
          <w:color w:val="auto"/>
        </w:rPr>
      </w:pPr>
    </w:p>
    <w:p>
      <w:pPr>
        <w:ind w:right="140" w:firstLine="490"/>
        <w:spacing w:after="0" w:line="254" w:lineRule="auto"/>
        <w:rPr>
          <w:sz w:val="20"/>
          <w:szCs w:val="20"/>
          <w:color w:val="auto"/>
        </w:rPr>
      </w:pPr>
      <w:r>
        <w:rPr>
          <w:rFonts w:ascii="Times New Roman" w:cs="Times New Roman" w:eastAsia="Times New Roman" w:hAnsi="Times New Roman"/>
          <w:sz w:val="20"/>
          <w:szCs w:val="20"/>
          <w:color w:val="231F20"/>
        </w:rPr>
        <w:t>In 2008, the Company adopted a Stock Incentive Plan. This stock incentive plan was amended and restated effective as of May 14, 2024 and further amended on May 14, 2025 (as amended from time to time, the “Plan”). The Plan provides that up to</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On December 10, 2024, the Board approved and adopted the 2024 Inducement Stock Incentive Plan and reserved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1,500,000 shares of Common Stock for issuance of awards under the 2024 Inducement Stock Incentive Plan. The 2024 Inducement</w:t>
      </w:r>
    </w:p>
    <w:p>
      <w:pPr>
        <w:spacing w:after="0"/>
        <w:rPr>
          <w:sz w:val="20"/>
          <w:szCs w:val="20"/>
          <w:color w:val="auto"/>
        </w:rPr>
      </w:pPr>
      <w:r>
        <w:rPr>
          <w:rFonts w:ascii="Times New Roman" w:cs="Times New Roman" w:eastAsia="Times New Roman" w:hAnsi="Times New Roman"/>
          <w:sz w:val="20"/>
          <w:szCs w:val="20"/>
          <w:color w:val="231F20"/>
        </w:rPr>
        <w:t>Stock Incentive Plan was approved and adopted without shareholder approval pursuant to NYSE American Guide Rule 711 and</w:t>
      </w:r>
    </w:p>
    <w:p>
      <w:pPr>
        <w:spacing w:after="0"/>
        <w:rPr>
          <w:sz w:val="20"/>
          <w:szCs w:val="20"/>
          <w:color w:val="auto"/>
        </w:rPr>
      </w:pPr>
      <w:r>
        <w:rPr>
          <w:rFonts w:ascii="Times New Roman" w:cs="Times New Roman" w:eastAsia="Times New Roman" w:hAnsi="Times New Roman"/>
          <w:sz w:val="20"/>
          <w:szCs w:val="20"/>
          <w:color w:val="231F20"/>
        </w:rPr>
        <w:t>provided for grants of non-qualified stock options, restricted stock awards, stock awards, performance share awards and other stock-</w:t>
      </w:r>
    </w:p>
    <w:p>
      <w:pPr>
        <w:spacing w:after="0"/>
        <w:rPr>
          <w:sz w:val="20"/>
          <w:szCs w:val="20"/>
          <w:color w:val="auto"/>
        </w:rPr>
      </w:pPr>
      <w:r>
        <w:rPr>
          <w:rFonts w:ascii="Times New Roman" w:cs="Times New Roman" w:eastAsia="Times New Roman" w:hAnsi="Times New Roman"/>
          <w:sz w:val="20"/>
          <w:szCs w:val="20"/>
          <w:color w:val="231F20"/>
        </w:rPr>
        <w:t>based awards (each, an “Inducement Award”). Effective May 14, 2025, the 2024 Inducement Stock Incentive Plan was terminated,</w:t>
      </w:r>
    </w:p>
    <w:p>
      <w:pPr>
        <w:spacing w:after="0"/>
        <w:rPr>
          <w:sz w:val="20"/>
          <w:szCs w:val="20"/>
          <w:color w:val="auto"/>
        </w:rPr>
      </w:pPr>
      <w:r>
        <w:rPr>
          <w:rFonts w:ascii="Times New Roman" w:cs="Times New Roman" w:eastAsia="Times New Roman" w:hAnsi="Times New Roman"/>
          <w:sz w:val="20"/>
          <w:szCs w:val="20"/>
          <w:color w:val="231F20"/>
        </w:rPr>
        <w:t>which means that no further grants can be made under the 2024 Inducement Stock Incentive Plan but existing outstanding awards</w:t>
      </w:r>
    </w:p>
    <w:p>
      <w:pPr>
        <w:spacing w:after="0"/>
        <w:rPr>
          <w:sz w:val="20"/>
          <w:szCs w:val="20"/>
          <w:color w:val="auto"/>
        </w:rPr>
      </w:pPr>
      <w:r>
        <w:rPr>
          <w:rFonts w:ascii="Times New Roman" w:cs="Times New Roman" w:eastAsia="Times New Roman" w:hAnsi="Times New Roman"/>
          <w:sz w:val="20"/>
          <w:szCs w:val="20"/>
          <w:color w:val="231F20"/>
        </w:rPr>
        <w:t>granted pursuant to this plan continue to be governed by the plan’s terms. The 2024 Inducement Stock Incentive Plan was established</w:t>
      </w:r>
    </w:p>
    <w:p>
      <w:pPr>
        <w:spacing w:after="0"/>
        <w:rPr>
          <w:sz w:val="20"/>
          <w:szCs w:val="20"/>
          <w:color w:val="auto"/>
        </w:rPr>
      </w:pPr>
      <w:r>
        <w:rPr>
          <w:rFonts w:ascii="Times New Roman" w:cs="Times New Roman" w:eastAsia="Times New Roman" w:hAnsi="Times New Roman"/>
          <w:sz w:val="20"/>
          <w:szCs w:val="20"/>
          <w:color w:val="231F20"/>
        </w:rPr>
        <w:t>exclusively to grant equity awards to individuals who were not previously employees or directors of the Company, as an inducement</w:t>
      </w:r>
    </w:p>
    <w:p>
      <w:pPr>
        <w:spacing w:after="0"/>
        <w:rPr>
          <w:sz w:val="20"/>
          <w:szCs w:val="20"/>
          <w:color w:val="auto"/>
        </w:rPr>
      </w:pPr>
      <w:r>
        <w:rPr>
          <w:rFonts w:ascii="Times New Roman" w:cs="Times New Roman" w:eastAsia="Times New Roman" w:hAnsi="Times New Roman"/>
          <w:sz w:val="20"/>
          <w:szCs w:val="20"/>
          <w:color w:val="231F20"/>
        </w:rPr>
        <w:t>to join the Company.</w:t>
      </w:r>
    </w:p>
    <w:p>
      <w:pPr>
        <w:spacing w:after="0" w:line="21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In October 2018, the Board of Directors of the Company approved the Mastech Digital, Inc. 2019 Employee Stock Purchase Plan (the “Stock Purchase Plan”). The Stock Purchase Plan is intended to meet the requirements of Section 423 of the Code and required the approval of the Company’s shareholders to be qualified under Section 423 of the Code.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800"/>
          </w:cols>
          <w:pgMar w:left="540" w:top="750" w:right="540" w:bottom="0" w:gutter="0" w:footer="0" w:header="0"/>
          <w:type w:val="continuous"/>
        </w:sectPr>
      </w:pPr>
    </w:p>
    <w:bookmarkStart w:id="47" w:name="page48"/>
    <w:bookmarkEnd w:id="47"/>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The Company accounts for stock-based compensation expense in accordance with ASC Topic 718 “</w:t>
      </w:r>
      <w:r>
        <w:rPr>
          <w:rFonts w:ascii="Times New Roman" w:cs="Times New Roman" w:eastAsia="Times New Roman" w:hAnsi="Times New Roman"/>
          <w:sz w:val="20"/>
          <w:szCs w:val="20"/>
          <w:i w:val="1"/>
          <w:iCs w:val="1"/>
          <w:color w:val="231F20"/>
        </w:rPr>
        <w:t>Share-based Payments</w:t>
      </w:r>
      <w:r>
        <w:rPr>
          <w:rFonts w:ascii="Times New Roman" w:cs="Times New Roman" w:eastAsia="Times New Roman" w:hAnsi="Times New Roman"/>
          <w:sz w:val="20"/>
          <w:szCs w:val="20"/>
          <w:color w:val="231F20"/>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20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2025 and 2024, the Company provided a valuation allowance of $435,000 and $452,000, respectively, related to the uncertainty of the realization of foreign net operating losses (“NOL”).</w:t>
      </w:r>
    </w:p>
    <w:p>
      <w:pPr>
        <w:spacing w:after="0" w:line="202"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31F20"/>
        </w:rPr>
        <w:t>The Tax Cuts and Jobs Act of 2017 created a new requirement that certain income earned by foreign subsidiaries, known as global intangible low-tax income (“GILTI”), must be included in the gross income of their U.S. shareholder. The Financial Accounting Standards Board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97" w:lineRule="exact"/>
        <w:rPr>
          <w:sz w:val="20"/>
          <w:szCs w:val="20"/>
          <w:color w:val="auto"/>
        </w:rPr>
      </w:pPr>
    </w:p>
    <w:p>
      <w:pPr>
        <w:jc w:val="both"/>
        <w:ind w:right="380" w:firstLine="490"/>
        <w:spacing w:after="0" w:line="252" w:lineRule="auto"/>
        <w:rPr>
          <w:sz w:val="20"/>
          <w:szCs w:val="20"/>
          <w:color w:val="auto"/>
        </w:rPr>
      </w:pPr>
      <w:r>
        <w:rPr>
          <w:rFonts w:ascii="Times New Roman" w:cs="Times New Roman" w:eastAsia="Times New Roman" w:hAnsi="Times New Roman"/>
          <w:sz w:val="20"/>
          <w:szCs w:val="20"/>
          <w:color w:val="231F20"/>
        </w:rPr>
        <w:t>The Company accounts for uncertain tax positions in accordance with ASC Topic 740-10, “</w:t>
      </w:r>
      <w:r>
        <w:rPr>
          <w:rFonts w:ascii="Times New Roman" w:cs="Times New Roman" w:eastAsia="Times New Roman" w:hAnsi="Times New Roman"/>
          <w:sz w:val="20"/>
          <w:szCs w:val="20"/>
          <w:i w:val="1"/>
          <w:iCs w:val="1"/>
          <w:color w:val="231F20"/>
        </w:rPr>
        <w:t>Accounting for Uncertainty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The Company recognizes the effect of income tax positions only if those positions are more likely than not to be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sustained under audit. As of December 31, 2025 and 2024, there were no uncertain tax positions for which a reserve or liability is necessary.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 Translation</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 (losses) in 2025 totaled $217,000; 2024 totaled $27,000; in 2023 we incurred losses of ($75,000).</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Recently Issued Accounting Standards</w:t>
      </w:r>
    </w:p>
    <w:p>
      <w:pPr>
        <w:spacing w:after="0" w:line="120"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31F20"/>
        </w:rPr>
        <w:t>Recent accounting pronouncements are described in Note 1 to the Consolidated Financial Statements contained in Item 8, herein.</w:t>
      </w:r>
    </w:p>
    <w:p>
      <w:pPr>
        <w:sectPr>
          <w:pgSz w:w="11880" w:h="15480" w:orient="portrait"/>
          <w:cols w:equalWidth="0" w:num="1">
            <w:col w:w="10740"/>
          </w:cols>
          <w:pgMar w:left="540" w:top="750"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740"/>
          </w:cols>
          <w:pgMar w:left="540" w:top="750" w:right="6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In addition to the inherent operational risks, the Company is exposed to certain market risks, primarily related to changes in interest rates and currency fluctuations.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Rates</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At December 31, 2025, we had no outstanding borrowings under our Credit Agreement with PNC Bank and certain other financial institution lenders (the “Credit Agreement”) — Refer to Note 5 — “Credit Facility” in the Notes to Consolidated Financial Statements, included in Item 8 herein. A hypothetical 10% increase in interest rates would have no impact on our annual interest expense. As of December 31, 2025, the Company has no interest-rate hedge vehicles outstanding.</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Currency Fluctuations</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 hypothetical 10% increase or decrease in overall foreign currency rates in 2025 would not have a material impact on our consolidated financial statements. As our international operations grow, we will continue to evaluate and reassess our approach to managing the risks relating to fluctuations in currency rates.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financial statements and supplementary data required by this item are filed as part of this Annual Report on Form 10-K. See Index to Consolidated Financial Statements on page 38 of this Annual Report on Form 10-K.</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760"/>
          </w:cols>
          <w:pgMar w:left="540" w:top="746" w:right="580" w:bottom="0" w:gutter="0" w:footer="0" w:header="0"/>
          <w:type w:val="continuous"/>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MANAGEMENT’S RESPONSIBILITY FOR FINANCIAL REPORTING</w:t>
      </w:r>
    </w:p>
    <w:p>
      <w:pPr>
        <w:spacing w:after="0" w:line="24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31F20"/>
        </w:rPr>
        <w:t>The accompanying Consolidated Financial Statements of Mastech Digital, Inc. and subsidiaries have been prepared by management, which is responsible for their integrity and objectivity. The statements have been prepared in conformity with accounting principles generally accepted in the United States of America and necessarily include amounts based on management’s best estimates and judgments.</w:t>
      </w:r>
    </w:p>
    <w:p>
      <w:pPr>
        <w:spacing w:after="0" w:line="19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31F20"/>
        </w:rPr>
        <w:t>The Company’s Consolidated Financial Statements for the year ended December 31, 2025 have been audited by UHY LLP, an Independent Registered Public Accounting Firm. The Audit opinion is on page XX of this Annual Report on Form 10-K.</w:t>
      </w:r>
    </w:p>
    <w:p>
      <w:pPr>
        <w:spacing w:after="0" w:line="16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Board of Directors pursues its responsibility for the Company’s financial reporting and accounting practices through its Audit Committee, all of the members of which are independent directors. The Audit Committee’s duties include recommending to the Board of Directors the Independent Registered Public Accounting Firm to audit the Company’s financial statements, reviewing the scope and results of the independent accountants’ activities and reporting the results of the committee’s activities to the Board of Directors. The Independent Registered Public Accounting Firm has met with the Audit Committee in the presence of management representatives to discuss the results of their audit work. Additionally, the Independent Registered Public Accounting Firm has direct access to the Audit Committee.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Nirav Patel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President and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Kannan Sugantharaman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Chief Financial Officer</w:t>
      </w:r>
    </w:p>
    <w:p>
      <w:pPr>
        <w:sectPr>
          <w:pgSz w:w="11880" w:h="15480" w:orient="portrait"/>
          <w:cols w:equalWidth="0" w:num="1">
            <w:col w:w="10740"/>
          </w:cols>
          <w:pgMar w:left="540" w:top="7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740"/>
          </w:cols>
          <w:pgMar w:left="540" w:top="746" w:right="600" w:bottom="0" w:gutter="0" w:footer="0" w:header="0"/>
          <w:type w:val="continuous"/>
        </w:sectPr>
      </w:pPr>
    </w:p>
    <w:bookmarkStart w:id="50" w:name="page51"/>
    <w:bookmarkEnd w:id="50"/>
    <w:p>
      <w:pPr>
        <w:ind w:left="4180"/>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280"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6"/>
          <w:szCs w:val="16"/>
          <w:b w:val="1"/>
          <w:bCs w:val="1"/>
          <w:u w:val="single" w:color="auto"/>
          <w:color w:val="231F20"/>
        </w:rPr>
        <w:t>Page</w:t>
      </w:r>
    </w:p>
    <w:p>
      <w:pPr>
        <w:spacing w:after="0" w:line="63"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color w:val="535355"/>
        </w:rPr>
        <w:t>Report of Independent Registered Public Accounting Firm</w:t>
      </w:r>
      <w:r>
        <w:rPr>
          <w:sz w:val="20"/>
          <w:szCs w:val="20"/>
          <w:color w:val="auto"/>
        </w:rPr>
        <w:tab/>
      </w:r>
      <w:r>
        <w:rPr>
          <w:rFonts w:ascii="Times New Roman" w:cs="Times New Roman" w:eastAsia="Times New Roman" w:hAnsi="Times New Roman"/>
          <w:sz w:val="20"/>
          <w:szCs w:val="20"/>
          <w:color w:val="231F20"/>
        </w:rPr>
        <w:t>40</w:t>
      </w:r>
    </w:p>
    <w:p>
      <w:pPr>
        <w:spacing w:after="0" w:line="48"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u w:val="single" w:color="auto"/>
          <w:color w:val="535355"/>
        </w:rPr>
        <w:t>Consolidated Balance Sheets as of December 31, 2025 and 2024</w:t>
      </w:r>
      <w:r>
        <w:rPr>
          <w:sz w:val="20"/>
          <w:szCs w:val="20"/>
          <w:color w:val="auto"/>
        </w:rPr>
        <w:tab/>
      </w:r>
      <w:r>
        <w:rPr>
          <w:rFonts w:ascii="Times New Roman" w:cs="Times New Roman" w:eastAsia="Times New Roman" w:hAnsi="Times New Roman"/>
          <w:sz w:val="20"/>
          <w:szCs w:val="20"/>
          <w:color w:val="231F20"/>
        </w:rPr>
        <w:t>42</w:t>
      </w:r>
    </w:p>
    <w:p>
      <w:pPr>
        <w:spacing w:after="0" w:line="2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u w:val="single" w:color="auto"/>
          <w:color w:val="535355"/>
        </w:rPr>
        <w:t>Consolidated Statements of Operations for the years ended December 31, 2025, 2024 and 2023</w:t>
      </w:r>
      <w:r>
        <w:rPr>
          <w:sz w:val="20"/>
          <w:szCs w:val="20"/>
          <w:color w:val="auto"/>
        </w:rPr>
        <w:tab/>
      </w:r>
      <w:r>
        <w:rPr>
          <w:rFonts w:ascii="Times New Roman" w:cs="Times New Roman" w:eastAsia="Times New Roman" w:hAnsi="Times New Roman"/>
          <w:sz w:val="20"/>
          <w:szCs w:val="20"/>
          <w:color w:val="231F20"/>
        </w:rPr>
        <w:t>43</w:t>
      </w:r>
    </w:p>
    <w:p>
      <w:pPr>
        <w:spacing w:after="0" w:line="2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u w:val="single" w:color="auto"/>
          <w:color w:val="535355"/>
        </w:rPr>
        <w:t>Consolidated Statements of Comprehensive Income (Loss) for the years ended December 31, 2025, 2024 and 2023</w:t>
      </w:r>
      <w:r>
        <w:rPr>
          <w:sz w:val="20"/>
          <w:szCs w:val="20"/>
          <w:color w:val="auto"/>
        </w:rPr>
        <w:tab/>
      </w:r>
      <w:r>
        <w:rPr>
          <w:rFonts w:ascii="Times New Roman" w:cs="Times New Roman" w:eastAsia="Times New Roman" w:hAnsi="Times New Roman"/>
          <w:sz w:val="20"/>
          <w:szCs w:val="20"/>
          <w:color w:val="231F20"/>
        </w:rPr>
        <w:t>44</w:t>
      </w:r>
    </w:p>
    <w:p>
      <w:pPr>
        <w:spacing w:after="0" w:line="2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u w:val="single" w:color="auto"/>
          <w:color w:val="535355"/>
        </w:rPr>
        <w:t>Consolidated Statements of Shareholders’ Equity for the years ended December 31, 2025, 2024 and 2023</w:t>
      </w:r>
      <w:r>
        <w:rPr>
          <w:sz w:val="20"/>
          <w:szCs w:val="20"/>
          <w:color w:val="auto"/>
        </w:rPr>
        <w:tab/>
      </w:r>
      <w:r>
        <w:rPr>
          <w:rFonts w:ascii="Times New Roman" w:cs="Times New Roman" w:eastAsia="Times New Roman" w:hAnsi="Times New Roman"/>
          <w:sz w:val="20"/>
          <w:szCs w:val="20"/>
          <w:color w:val="231F20"/>
        </w:rPr>
        <w:t>45</w:t>
      </w:r>
    </w:p>
    <w:p>
      <w:pPr>
        <w:spacing w:after="0" w:line="2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u w:val="single" w:color="auto"/>
          <w:color w:val="535355"/>
        </w:rPr>
        <w:t>Consolidated Statements of Cash Flows for the years ended December 31, 2025, 2024 and 2023</w:t>
      </w:r>
      <w:r>
        <w:rPr>
          <w:sz w:val="20"/>
          <w:szCs w:val="20"/>
          <w:color w:val="auto"/>
        </w:rPr>
        <w:tab/>
      </w:r>
      <w:r>
        <w:rPr>
          <w:rFonts w:ascii="Times New Roman" w:cs="Times New Roman" w:eastAsia="Times New Roman" w:hAnsi="Times New Roman"/>
          <w:sz w:val="20"/>
          <w:szCs w:val="20"/>
          <w:color w:val="231F20"/>
        </w:rPr>
        <w:t>46</w:t>
      </w:r>
    </w:p>
    <w:p>
      <w:pPr>
        <w:spacing w:after="0" w:line="2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u w:val="single" w:color="auto"/>
          <w:color w:val="535355"/>
        </w:rPr>
        <w:t>Notes to Consolidated Financial Statements</w:t>
      </w:r>
      <w:r>
        <w:rPr>
          <w:sz w:val="20"/>
          <w:szCs w:val="20"/>
          <w:color w:val="auto"/>
        </w:rPr>
        <w:tab/>
      </w:r>
      <w:r>
        <w:rPr>
          <w:rFonts w:ascii="Times New Roman" w:cs="Times New Roman" w:eastAsia="Times New Roman" w:hAnsi="Times New Roman"/>
          <w:sz w:val="20"/>
          <w:szCs w:val="20"/>
          <w:color w:val="231F20"/>
        </w:rPr>
        <w:t>47</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800"/>
          </w:cols>
          <w:pgMar w:left="540" w:top="746" w:right="540" w:bottom="0" w:gutter="0" w:footer="0" w:header="0"/>
          <w:type w:val="continuous"/>
        </w:sectPr>
      </w:pPr>
    </w:p>
    <w:bookmarkStart w:id="51" w:name="page52"/>
    <w:bookmarkEnd w:id="51"/>
    <w:p>
      <w:pPr>
        <w:ind w:left="198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To the Shareholders and the Board of Directors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Mastech Digital,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2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Mastech Digital, Inc. and Subsidiaries (the “Company”) as of December 31, 2025 and 2024, and the related consolidated statements of operations, comprehensive income, shareholders’ equity, and cash flows for each of the years in the three-year period ended December 31, 2025, and the related notes and Schedule II, Valuation and Qualifying Accounts listed in the index at item 15(2) (collectively referred to as the “financial statements”) . In our opinion, the financial statements referred to above present fairly, in all material respects, the consolidated financial position of Mastech Digital, Inc. and Subsidiaries at December 31, 2025 and 2024, and the consolidated results of their operations and their cash flows for each of the years in the three-year period ended December 31, 2025, in conformity with accounting principles generally accepted in the United States of America.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current-period audit of the financial statements that was communicated or required to be communicated to the audit committee and that (1) relates to an account or disclosure that is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Critical Audit Matter – Valuation of Goodwill</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discussed in Notes 1 and 4 to the consolidated financial statements, the Company evaluates goodwill for impairment on an annual basis as of October 1 or more frequently if events or changes in circumstances indicate that the carrying value of the asset may not be recoverable. The goodwill balance as of December 31, 2025, was $ 27.2 million. The Company considers potential impairment by comparing the fair value of a reporting unit to its carrying value. Fair value is estimated by management using a discounted cash flow model.</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identified goodwill impairment as a critical audit matter because of the significant judgments made by management to estimate the fair value of the reporting units. This required a high degree of auditor judgment and an increased extent of effort, including our need to involve valuation specialists, when performing audit procedures to evaluate the reasonableness of inputs into the discounted cash</w:t>
      </w:r>
    </w:p>
    <w:p>
      <w:pPr>
        <w:sectPr>
          <w:pgSz w:w="11880" w:h="15480" w:orient="portrait"/>
          <w:cols w:equalWidth="0" w:num="1">
            <w:col w:w="10800"/>
          </w:cols>
          <w:pgMar w:left="540" w:top="1073" w:right="54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800"/>
          </w:cols>
          <w:pgMar w:left="540" w:top="1073" w:right="540" w:bottom="0" w:gutter="0" w:footer="0" w:header="0"/>
          <w:type w:val="continuous"/>
        </w:sectPr>
      </w:pPr>
    </w:p>
    <w:bookmarkStart w:id="52" w:name="page53"/>
    <w:bookmarkEnd w:id="52"/>
    <w:p>
      <w:pPr>
        <w:jc w:val="both"/>
        <w:spacing w:after="0" w:line="277" w:lineRule="auto"/>
        <w:rPr>
          <w:sz w:val="20"/>
          <w:szCs w:val="20"/>
          <w:color w:val="auto"/>
        </w:rPr>
      </w:pPr>
      <w:r>
        <w:rPr>
          <w:rFonts w:ascii="Times New Roman" w:cs="Times New Roman" w:eastAsia="Times New Roman" w:hAnsi="Times New Roman"/>
          <w:sz w:val="20"/>
          <w:szCs w:val="20"/>
          <w:color w:val="231F20"/>
        </w:rPr>
        <w:t>flow model driven by management’s estimates and assumptions. Significant management estimates include forecasts for revenue, gross profit, long-term growth rates, and discount rates.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How the Critical Audit Matter Was Addressed in the Audit</w:t>
      </w:r>
    </w:p>
    <w:p>
      <w:pPr>
        <w:spacing w:after="0" w:line="2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Our audit procedures performed to evaluate the reasonableness of management’s estimates and assumptions included assessing the methodologies used by the Company and testing the significant assumptions used in the quantitative models. We compared current and prior year forecasts prepared by management to historical revenue and gross profit to evaluate the reasonableness of the assumptions and to evaluate management’s ability to accurately forecast future revenue and gross profit. We evaluated historical trends in assessing the reasonableness of growth rate assumptions and performed sensitivity analyses of significant assumptions to evaluate the changes in the fair value of the reporting units that would result from changes in these assumptions. We performed procedures to verify the mathematical accuracy of the calculations used by management. We involved our valuation specialists to assist us in identifying the significant assumptions underlying the models, assessing the rationale and supporting documents related to these assumptions, and determining the appropriateness and reasonableness of the methodologies employed. Furthermore, we assessed the appropriateness of the disclosures in the financial statements.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 UHY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2008.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Farmington Hills, Michigan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18, 2026</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800"/>
          </w:cols>
          <w:pgMar w:left="540" w:top="750" w:right="540" w:bottom="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 except share and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9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31F20"/>
              </w:rPr>
              <w:t>At December 31,</w:t>
            </w:r>
          </w:p>
        </w:tc>
        <w:tc>
          <w:tcPr>
            <w:tcW w:w="1100" w:type="dxa"/>
            <w:vAlign w:val="bottom"/>
            <w:tcBorders>
              <w:bottom w:val="single" w:sz="8" w:color="231F20"/>
            </w:tcBorders>
          </w:tcPr>
          <w:p>
            <w:pPr>
              <w:spacing w:after="0"/>
              <w:rPr>
                <w:sz w:val="17"/>
                <w:szCs w:val="17"/>
                <w:color w:val="auto"/>
              </w:rPr>
            </w:pPr>
          </w:p>
        </w:tc>
      </w:tr>
      <w:tr>
        <w:trPr>
          <w:trHeight w:val="193"/>
        </w:trPr>
        <w:tc>
          <w:tcPr>
            <w:tcW w:w="7380" w:type="dxa"/>
            <w:vAlign w:val="bottom"/>
            <w:tcBorders>
              <w:bottom w:val="single" w:sz="8" w:color="E6E7E8"/>
            </w:tcBorders>
          </w:tcPr>
          <w:p>
            <w:pPr>
              <w:spacing w:after="0"/>
              <w:rPr>
                <w:sz w:val="16"/>
                <w:szCs w:val="16"/>
                <w:color w:val="auto"/>
              </w:rPr>
            </w:pPr>
          </w:p>
        </w:tc>
        <w:tc>
          <w:tcPr>
            <w:tcW w:w="36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6E7E8"/>
            </w:tcBorders>
          </w:tcPr>
          <w:p>
            <w:pPr>
              <w:spacing w:after="0"/>
              <w:rPr>
                <w:sz w:val="16"/>
                <w:szCs w:val="16"/>
                <w:color w:val="auto"/>
              </w:rPr>
            </w:pPr>
          </w:p>
        </w:tc>
        <w:tc>
          <w:tcPr>
            <w:tcW w:w="54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16"/>
        </w:trPr>
        <w:tc>
          <w:tcPr>
            <w:tcW w:w="7380" w:type="dxa"/>
            <w:vAlign w:val="bottom"/>
            <w:shd w:val="clear" w:color="auto" w:fill="E6E7E8"/>
          </w:tcPr>
          <w:p>
            <w:pPr>
              <w:ind w:left="330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60" w:type="dxa"/>
            <w:vAlign w:val="bottom"/>
            <w:shd w:val="clear" w:color="auto" w:fill="E6E7E8"/>
          </w:tcPr>
          <w:p>
            <w:pPr>
              <w:spacing w:after="0"/>
              <w:rPr>
                <w:sz w:val="18"/>
                <w:szCs w:val="18"/>
                <w:color w:val="auto"/>
              </w:rPr>
            </w:pPr>
          </w:p>
        </w:tc>
        <w:tc>
          <w:tcPr>
            <w:tcW w:w="1320" w:type="dxa"/>
            <w:vAlign w:val="bottom"/>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100" w:type="dxa"/>
            <w:vAlign w:val="bottom"/>
            <w:shd w:val="clear" w:color="auto" w:fill="E6E7E8"/>
          </w:tcPr>
          <w:p>
            <w:pPr>
              <w:spacing w:after="0"/>
              <w:rPr>
                <w:sz w:val="18"/>
                <w:szCs w:val="18"/>
                <w:color w:val="auto"/>
              </w:rPr>
            </w:pP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60" w:type="dxa"/>
            <w:vAlign w:val="bottom"/>
            <w:shd w:val="clear" w:color="auto" w:fill="E6E7E8"/>
          </w:tcPr>
          <w:p>
            <w:pPr>
              <w:jc w:val="right"/>
              <w:ind w:right="17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36,533</w:t>
            </w:r>
          </w:p>
        </w:tc>
        <w:tc>
          <w:tcPr>
            <w:tcW w:w="640" w:type="dxa"/>
            <w:vAlign w:val="bottom"/>
            <w:gridSpan w:val="2"/>
            <w:shd w:val="clear" w:color="auto" w:fill="E6E7E8"/>
          </w:tcPr>
          <w:p>
            <w:pPr>
              <w:jc w:val="right"/>
              <w:ind w:right="373"/>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27,742</w:t>
            </w: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Accounts receivable, net of allowance for credit losses of $275 in 2025 and $311 in 2024</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20,648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23,845</w:t>
            </w: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Unbilled receivables</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5,748</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7,598</w:t>
            </w:r>
          </w:p>
        </w:tc>
      </w:tr>
      <w:tr>
        <w:trPr>
          <w:trHeight w:val="221"/>
        </w:trPr>
        <w:tc>
          <w:tcPr>
            <w:tcW w:w="738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18"/>
                <w:szCs w:val="18"/>
                <w:color w:val="231F20"/>
              </w:rPr>
              <w:t>Prepaid and other current assets</w:t>
            </w:r>
          </w:p>
        </w:tc>
        <w:tc>
          <w:tcPr>
            <w:tcW w:w="36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31"/>
              <w:spacing w:after="0"/>
              <w:rPr>
                <w:sz w:val="20"/>
                <w:szCs w:val="20"/>
                <w:color w:val="auto"/>
              </w:rPr>
            </w:pPr>
            <w:r>
              <w:rPr>
                <w:rFonts w:ascii="Times New Roman" w:cs="Times New Roman" w:eastAsia="Times New Roman" w:hAnsi="Times New Roman"/>
                <w:sz w:val="18"/>
                <w:szCs w:val="18"/>
                <w:color w:val="231F20"/>
              </w:rPr>
              <w:t>5,647</w:t>
            </w:r>
          </w:p>
        </w:tc>
        <w:tc>
          <w:tcPr>
            <w:tcW w:w="100" w:type="dxa"/>
            <w:vAlign w:val="bottom"/>
            <w:tcBorders>
              <w:bottom w:val="single" w:sz="8" w:color="E6E7E8"/>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7,020</w:t>
            </w:r>
          </w:p>
        </w:tc>
      </w:tr>
      <w:tr>
        <w:trPr>
          <w:trHeight w:val="216"/>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Total current assets</w:t>
            </w:r>
          </w:p>
        </w:tc>
        <w:tc>
          <w:tcPr>
            <w:tcW w:w="360" w:type="dxa"/>
            <w:vAlign w:val="bottom"/>
            <w:shd w:val="clear" w:color="auto" w:fill="E6E7E8"/>
          </w:tcPr>
          <w:p>
            <w:pPr>
              <w:spacing w:after="0"/>
              <w:rPr>
                <w:sz w:val="18"/>
                <w:szCs w:val="18"/>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68,576</w:t>
            </w:r>
          </w:p>
        </w:tc>
        <w:tc>
          <w:tcPr>
            <w:tcW w:w="10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66,205</w:t>
            </w: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Equipment, enterprise software, and leasehold improvements, at cost: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Equipment</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3,817</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3,671</w:t>
            </w: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Enterprise software</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4,185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4,185</w:t>
            </w:r>
          </w:p>
        </w:tc>
      </w:tr>
      <w:tr>
        <w:trPr>
          <w:trHeight w:val="221"/>
        </w:trPr>
        <w:tc>
          <w:tcPr>
            <w:tcW w:w="738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Leasehold improvements</w:t>
            </w:r>
          </w:p>
        </w:tc>
        <w:tc>
          <w:tcPr>
            <w:tcW w:w="360" w:type="dxa"/>
            <w:vAlign w:val="bottom"/>
            <w:tcBorders>
              <w:bottom w:val="single" w:sz="8" w:color="231F20"/>
            </w:tcBorders>
            <w:shd w:val="clear" w:color="auto" w:fill="E6E7E8"/>
          </w:tcPr>
          <w:p>
            <w:pPr>
              <w:spacing w:after="0"/>
              <w:rPr>
                <w:sz w:val="19"/>
                <w:szCs w:val="19"/>
                <w:color w:val="auto"/>
              </w:rPr>
            </w:pPr>
          </w:p>
        </w:tc>
        <w:tc>
          <w:tcPr>
            <w:tcW w:w="1320" w:type="dxa"/>
            <w:vAlign w:val="bottom"/>
            <w:tcBorders>
              <w:bottom w:val="single" w:sz="8" w:color="231F20"/>
            </w:tcBorders>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738</w:t>
            </w:r>
          </w:p>
        </w:tc>
        <w:tc>
          <w:tcPr>
            <w:tcW w:w="100" w:type="dxa"/>
            <w:vAlign w:val="bottom"/>
            <w:tcBorders>
              <w:bottom w:val="single" w:sz="8" w:color="E6E7E8"/>
            </w:tcBorders>
            <w:shd w:val="clear" w:color="auto" w:fill="E6E7E8"/>
          </w:tcPr>
          <w:p>
            <w:pPr>
              <w:spacing w:after="0"/>
              <w:rPr>
                <w:sz w:val="19"/>
                <w:szCs w:val="19"/>
                <w:color w:val="auto"/>
              </w:rPr>
            </w:pPr>
          </w:p>
        </w:tc>
        <w:tc>
          <w:tcPr>
            <w:tcW w:w="540" w:type="dxa"/>
            <w:vAlign w:val="bottom"/>
            <w:tcBorders>
              <w:bottom w:val="single" w:sz="8" w:color="231F20"/>
            </w:tcBorders>
            <w:shd w:val="clear" w:color="auto" w:fill="E6E7E8"/>
          </w:tcPr>
          <w:p>
            <w:pPr>
              <w:spacing w:after="0"/>
              <w:rPr>
                <w:sz w:val="19"/>
                <w:szCs w:val="19"/>
                <w:color w:val="auto"/>
              </w:rPr>
            </w:pPr>
          </w:p>
        </w:tc>
        <w:tc>
          <w:tcPr>
            <w:tcW w:w="1100" w:type="dxa"/>
            <w:vAlign w:val="bottom"/>
            <w:tcBorders>
              <w:bottom w:val="single" w:sz="8" w:color="231F20"/>
            </w:tcBorders>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742</w:t>
            </w:r>
          </w:p>
        </w:tc>
      </w:tr>
      <w:tr>
        <w:trPr>
          <w:trHeight w:val="216"/>
        </w:trPr>
        <w:tc>
          <w:tcPr>
            <w:tcW w:w="7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8,740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8,598</w:t>
            </w:r>
          </w:p>
        </w:tc>
      </w:tr>
      <w:tr>
        <w:trPr>
          <w:trHeight w:val="241"/>
        </w:trPr>
        <w:tc>
          <w:tcPr>
            <w:tcW w:w="738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Less – accumulated depreciation and amortization</w:t>
            </w:r>
          </w:p>
        </w:tc>
        <w:tc>
          <w:tcPr>
            <w:tcW w:w="360" w:type="dxa"/>
            <w:vAlign w:val="bottom"/>
            <w:tcBorders>
              <w:bottom w:val="single" w:sz="8" w:color="231F20"/>
            </w:tcBorders>
            <w:shd w:val="clear" w:color="auto" w:fill="E6E7E8"/>
          </w:tcPr>
          <w:p>
            <w:pPr>
              <w:spacing w:after="0"/>
              <w:rPr>
                <w:sz w:val="20"/>
                <w:szCs w:val="20"/>
                <w:color w:val="auto"/>
              </w:rPr>
            </w:pPr>
          </w:p>
        </w:tc>
        <w:tc>
          <w:tcPr>
            <w:tcW w:w="13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(7,183)</w:t>
            </w:r>
          </w:p>
        </w:tc>
        <w:tc>
          <w:tcPr>
            <w:tcW w:w="100" w:type="dxa"/>
            <w:vAlign w:val="bottom"/>
            <w:tcBorders>
              <w:bottom w:val="single" w:sz="8" w:color="E6E7E8"/>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(6,600)</w:t>
            </w:r>
          </w:p>
        </w:tc>
      </w:tr>
      <w:tr>
        <w:trPr>
          <w:trHeight w:val="196"/>
        </w:trPr>
        <w:tc>
          <w:tcPr>
            <w:tcW w:w="7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31F20"/>
              </w:rPr>
              <w:t>Net equipment, enterprise software, and leasehold improvements</w:t>
            </w:r>
          </w:p>
        </w:tc>
        <w:tc>
          <w:tcPr>
            <w:tcW w:w="360" w:type="dxa"/>
            <w:vAlign w:val="bottom"/>
          </w:tcPr>
          <w:p>
            <w:pPr>
              <w:spacing w:after="0"/>
              <w:rPr>
                <w:sz w:val="17"/>
                <w:szCs w:val="17"/>
                <w:color w:val="auto"/>
              </w:rPr>
            </w:pPr>
          </w:p>
        </w:tc>
        <w:tc>
          <w:tcPr>
            <w:tcW w:w="13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231F20"/>
              </w:rPr>
              <w:t>1,557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231F20"/>
              </w:rPr>
              <w:t>1,998</w:t>
            </w:r>
          </w:p>
        </w:tc>
      </w:tr>
      <w:tr>
        <w:trPr>
          <w:trHeight w:val="221"/>
        </w:trPr>
        <w:tc>
          <w:tcPr>
            <w:tcW w:w="738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Operating lease right-of-use assets, net</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2,534</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3,832</w:t>
            </w: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Deferred income taxes</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2,583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1,298</w:t>
            </w:r>
          </w:p>
        </w:tc>
      </w:tr>
      <w:tr>
        <w:trPr>
          <w:trHeight w:val="221"/>
        </w:trPr>
        <w:tc>
          <w:tcPr>
            <w:tcW w:w="738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Deferred financing costs, net</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95</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189</w:t>
            </w: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Deferred compensation, net</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738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Non-current deposits</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530</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444</w:t>
            </w: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Goodwill, net of impairment</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27,210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27,210</w:t>
            </w:r>
          </w:p>
        </w:tc>
      </w:tr>
      <w:tr>
        <w:trPr>
          <w:trHeight w:val="241"/>
        </w:trPr>
        <w:tc>
          <w:tcPr>
            <w:tcW w:w="73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18"/>
                <w:szCs w:val="18"/>
                <w:color w:val="231F20"/>
              </w:rPr>
              <w:t>Intangible assets, net of amortization</w:t>
            </w:r>
          </w:p>
        </w:tc>
        <w:tc>
          <w:tcPr>
            <w:tcW w:w="360" w:type="dxa"/>
            <w:vAlign w:val="bottom"/>
            <w:tcBorders>
              <w:bottom w:val="single" w:sz="8" w:color="231F20"/>
            </w:tcBorders>
            <w:shd w:val="clear" w:color="auto" w:fill="E6E7E8"/>
          </w:tcPr>
          <w:p>
            <w:pPr>
              <w:spacing w:after="0"/>
              <w:rPr>
                <w:sz w:val="20"/>
                <w:szCs w:val="20"/>
                <w:color w:val="auto"/>
              </w:rPr>
            </w:pPr>
          </w:p>
        </w:tc>
        <w:tc>
          <w:tcPr>
            <w:tcW w:w="1320" w:type="dxa"/>
            <w:vAlign w:val="bottom"/>
            <w:tcBorders>
              <w:bottom w:val="single" w:sz="8" w:color="231F20"/>
            </w:tcBorders>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7,755</w:t>
            </w:r>
          </w:p>
        </w:tc>
        <w:tc>
          <w:tcPr>
            <w:tcW w:w="100" w:type="dxa"/>
            <w:vAlign w:val="bottom"/>
            <w:tcBorders>
              <w:bottom w:val="single" w:sz="8" w:color="E6E7E8"/>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10,308</w:t>
            </w:r>
          </w:p>
        </w:tc>
      </w:tr>
      <w:tr>
        <w:trPr>
          <w:trHeight w:val="236"/>
        </w:trPr>
        <w:tc>
          <w:tcPr>
            <w:tcW w:w="7380" w:type="dxa"/>
            <w:vAlign w:val="bottom"/>
            <w:tcBorders>
              <w:bottom w:val="single" w:sz="8" w:color="E6E7E8"/>
            </w:tcBorders>
          </w:tcPr>
          <w:p>
            <w:pPr>
              <w:ind w:left="400"/>
              <w:spacing w:after="0" w:line="196" w:lineRule="exact"/>
              <w:rPr>
                <w:sz w:val="20"/>
                <w:szCs w:val="20"/>
                <w:color w:val="auto"/>
              </w:rPr>
            </w:pPr>
            <w:r>
              <w:rPr>
                <w:rFonts w:ascii="Times New Roman" w:cs="Times New Roman" w:eastAsia="Times New Roman" w:hAnsi="Times New Roman"/>
                <w:sz w:val="18"/>
                <w:szCs w:val="18"/>
                <w:color w:val="231F20"/>
              </w:rPr>
              <w:t>Total assets</w:t>
            </w:r>
          </w:p>
        </w:tc>
        <w:tc>
          <w:tcPr>
            <w:tcW w:w="360" w:type="dxa"/>
            <w:vAlign w:val="bottom"/>
            <w:tcBorders>
              <w:bottom w:val="single" w:sz="8" w:color="231F20"/>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tcBorders>
              <w:bottom w:val="single" w:sz="8" w:color="231F20"/>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231F20"/>
              </w:rPr>
              <w:t>111,840</w:t>
            </w:r>
          </w:p>
        </w:tc>
        <w:tc>
          <w:tcPr>
            <w:tcW w:w="100" w:type="dxa"/>
            <w:vAlign w:val="bottom"/>
            <w:tcBorders>
              <w:bottom w:val="single" w:sz="8" w:color="E6E7E8"/>
            </w:tcBorders>
          </w:tcPr>
          <w:p>
            <w:pPr>
              <w:spacing w:after="0"/>
              <w:rPr>
                <w:sz w:val="20"/>
                <w:szCs w:val="20"/>
                <w:color w:val="auto"/>
              </w:rPr>
            </w:pPr>
          </w:p>
        </w:tc>
        <w:tc>
          <w:tcPr>
            <w:tcW w:w="540" w:type="dxa"/>
            <w:vAlign w:val="bottom"/>
            <w:tcBorders>
              <w:bottom w:val="single" w:sz="8" w:color="231F20"/>
            </w:tcBorders>
          </w:tcPr>
          <w:p>
            <w:pPr>
              <w:jc w:val="right"/>
              <w:ind w:right="373"/>
              <w:spacing w:after="0"/>
              <w:rPr>
                <w:sz w:val="20"/>
                <w:szCs w:val="20"/>
                <w:color w:val="auto"/>
              </w:rPr>
            </w:pPr>
            <w:r>
              <w:rPr>
                <w:rFonts w:ascii="Times New Roman" w:cs="Times New Roman" w:eastAsia="Times New Roman" w:hAnsi="Times New Roman"/>
                <w:sz w:val="17"/>
                <w:szCs w:val="17"/>
                <w:color w:val="231F20"/>
                <w:w w:val="70"/>
              </w:rPr>
              <w:t>$</w:t>
            </w:r>
          </w:p>
        </w:tc>
        <w:tc>
          <w:tcPr>
            <w:tcW w:w="1100" w:type="dxa"/>
            <w:vAlign w:val="bottom"/>
            <w:tcBorders>
              <w:bottom w:val="single" w:sz="8" w:color="231F20"/>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231F20"/>
              </w:rPr>
              <w:t>111,484</w:t>
            </w:r>
          </w:p>
        </w:tc>
      </w:tr>
      <w:tr>
        <w:trPr>
          <w:trHeight w:val="206"/>
        </w:trPr>
        <w:tc>
          <w:tcPr>
            <w:tcW w:w="7380" w:type="dxa"/>
            <w:vAlign w:val="bottom"/>
            <w:shd w:val="clear" w:color="auto" w:fill="E6E7E8"/>
          </w:tcPr>
          <w:p>
            <w:pPr>
              <w:ind w:left="1680"/>
              <w:spacing w:after="0" w:line="206" w:lineRule="exact"/>
              <w:rPr>
                <w:sz w:val="20"/>
                <w:szCs w:val="20"/>
                <w:color w:val="auto"/>
              </w:rPr>
            </w:pPr>
            <w:r>
              <w:rPr>
                <w:rFonts w:ascii="Times New Roman" w:cs="Times New Roman" w:eastAsia="Times New Roman" w:hAnsi="Times New Roman"/>
                <w:sz w:val="18"/>
                <w:szCs w:val="18"/>
                <w:b w:val="1"/>
                <w:bCs w:val="1"/>
                <w:color w:val="231F20"/>
              </w:rPr>
              <w:t>LIABILITIES AND SHAREHOLDERS’ EQUITY</w:t>
            </w:r>
          </w:p>
        </w:tc>
        <w:tc>
          <w:tcPr>
            <w:tcW w:w="360" w:type="dxa"/>
            <w:vAlign w:val="bottom"/>
            <w:shd w:val="clear" w:color="auto" w:fill="E6E7E8"/>
          </w:tcPr>
          <w:p>
            <w:pPr>
              <w:spacing w:after="0"/>
              <w:rPr>
                <w:sz w:val="17"/>
                <w:szCs w:val="17"/>
                <w:color w:val="auto"/>
              </w:rPr>
            </w:pPr>
          </w:p>
        </w:tc>
        <w:tc>
          <w:tcPr>
            <w:tcW w:w="1320" w:type="dxa"/>
            <w:vAlign w:val="bottom"/>
            <w:shd w:val="clear" w:color="auto" w:fill="E6E7E8"/>
          </w:tcPr>
          <w:p>
            <w:pPr>
              <w:spacing w:after="0"/>
              <w:rPr>
                <w:sz w:val="17"/>
                <w:szCs w:val="17"/>
                <w:color w:val="auto"/>
              </w:rPr>
            </w:pPr>
          </w:p>
        </w:tc>
        <w:tc>
          <w:tcPr>
            <w:tcW w:w="100" w:type="dxa"/>
            <w:vAlign w:val="bottom"/>
            <w:shd w:val="clear" w:color="auto" w:fill="E6E7E8"/>
          </w:tcPr>
          <w:p>
            <w:pPr>
              <w:spacing w:after="0"/>
              <w:rPr>
                <w:sz w:val="17"/>
                <w:szCs w:val="17"/>
                <w:color w:val="auto"/>
              </w:rPr>
            </w:pPr>
          </w:p>
        </w:tc>
        <w:tc>
          <w:tcPr>
            <w:tcW w:w="540" w:type="dxa"/>
            <w:vAlign w:val="bottom"/>
            <w:shd w:val="clear" w:color="auto" w:fill="E6E7E8"/>
          </w:tcPr>
          <w:p>
            <w:pPr>
              <w:spacing w:after="0"/>
              <w:rPr>
                <w:sz w:val="17"/>
                <w:szCs w:val="17"/>
                <w:color w:val="auto"/>
              </w:rPr>
            </w:pPr>
          </w:p>
        </w:tc>
        <w:tc>
          <w:tcPr>
            <w:tcW w:w="1100" w:type="dxa"/>
            <w:vAlign w:val="bottom"/>
            <w:shd w:val="clear" w:color="auto" w:fill="E6E7E8"/>
          </w:tcPr>
          <w:p>
            <w:pPr>
              <w:spacing w:after="0"/>
              <w:rPr>
                <w:sz w:val="17"/>
                <w:szCs w:val="17"/>
                <w:color w:val="auto"/>
              </w:rPr>
            </w:pP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Current liabilities: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Accounts payable</w:t>
            </w:r>
          </w:p>
        </w:tc>
        <w:tc>
          <w:tcPr>
            <w:tcW w:w="360" w:type="dxa"/>
            <w:vAlign w:val="bottom"/>
            <w:shd w:val="clear" w:color="auto" w:fill="E6E7E8"/>
          </w:tcPr>
          <w:p>
            <w:pPr>
              <w:jc w:val="right"/>
              <w:ind w:right="17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3,451</w:t>
            </w:r>
          </w:p>
        </w:tc>
        <w:tc>
          <w:tcPr>
            <w:tcW w:w="640" w:type="dxa"/>
            <w:vAlign w:val="bottom"/>
            <w:gridSpan w:val="2"/>
            <w:shd w:val="clear" w:color="auto" w:fill="E6E7E8"/>
          </w:tcPr>
          <w:p>
            <w:pPr>
              <w:jc w:val="right"/>
              <w:ind w:right="373"/>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4,683</w:t>
            </w: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Accrued payroll and related costs</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15,391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13,750</w:t>
            </w: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Current portion of operating lease liability</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1,283</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1,265</w:t>
            </w: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Other accrued liabilities</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898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550</w:t>
            </w:r>
          </w:p>
        </w:tc>
      </w:tr>
      <w:tr>
        <w:trPr>
          <w:trHeight w:val="241"/>
        </w:trPr>
        <w:tc>
          <w:tcPr>
            <w:tcW w:w="738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Deferred revenue</w:t>
            </w:r>
          </w:p>
        </w:tc>
        <w:tc>
          <w:tcPr>
            <w:tcW w:w="360" w:type="dxa"/>
            <w:vAlign w:val="bottom"/>
            <w:tcBorders>
              <w:bottom w:val="single" w:sz="8" w:color="231F20"/>
            </w:tcBorders>
            <w:shd w:val="clear" w:color="auto" w:fill="E6E7E8"/>
          </w:tcPr>
          <w:p>
            <w:pPr>
              <w:spacing w:after="0"/>
              <w:rPr>
                <w:sz w:val="20"/>
                <w:szCs w:val="20"/>
                <w:color w:val="auto"/>
              </w:rPr>
            </w:pPr>
          </w:p>
        </w:tc>
        <w:tc>
          <w:tcPr>
            <w:tcW w:w="1320" w:type="dxa"/>
            <w:vAlign w:val="bottom"/>
            <w:tcBorders>
              <w:bottom w:val="single" w:sz="8" w:color="231F20"/>
            </w:tcBorders>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41</w:t>
            </w:r>
          </w:p>
        </w:tc>
        <w:tc>
          <w:tcPr>
            <w:tcW w:w="100" w:type="dxa"/>
            <w:vAlign w:val="bottom"/>
            <w:tcBorders>
              <w:bottom w:val="single" w:sz="8" w:color="E6E7E8"/>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329</w:t>
            </w:r>
          </w:p>
        </w:tc>
      </w:tr>
      <w:tr>
        <w:trPr>
          <w:trHeight w:val="196"/>
        </w:trPr>
        <w:tc>
          <w:tcPr>
            <w:tcW w:w="7380" w:type="dxa"/>
            <w:vAlign w:val="bottom"/>
            <w:tcBorders>
              <w:bottom w:val="single" w:sz="8" w:color="E6E7E8"/>
            </w:tcBorders>
          </w:tcPr>
          <w:p>
            <w:pPr>
              <w:ind w:left="200"/>
              <w:spacing w:after="0" w:line="196" w:lineRule="exact"/>
              <w:rPr>
                <w:sz w:val="20"/>
                <w:szCs w:val="20"/>
                <w:color w:val="auto"/>
              </w:rPr>
            </w:pPr>
            <w:r>
              <w:rPr>
                <w:rFonts w:ascii="Times New Roman" w:cs="Times New Roman" w:eastAsia="Times New Roman" w:hAnsi="Times New Roman"/>
                <w:sz w:val="18"/>
                <w:szCs w:val="18"/>
                <w:color w:val="231F20"/>
              </w:rPr>
              <w:t>Total current liabilities</w:t>
            </w:r>
          </w:p>
        </w:tc>
        <w:tc>
          <w:tcPr>
            <w:tcW w:w="3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231F20"/>
              </w:rPr>
              <w:t>21,064</w:t>
            </w:r>
          </w:p>
        </w:tc>
        <w:tc>
          <w:tcPr>
            <w:tcW w:w="100" w:type="dxa"/>
            <w:vAlign w:val="bottom"/>
            <w:tcBorders>
              <w:bottom w:val="single" w:sz="8" w:color="E6E7E8"/>
            </w:tcBorders>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231F20"/>
              </w:rPr>
              <w:t>20,577</w:t>
            </w:r>
          </w:p>
        </w:tc>
      </w:tr>
      <w:tr>
        <w:trPr>
          <w:trHeight w:val="216"/>
        </w:trPr>
        <w:tc>
          <w:tcPr>
            <w:tcW w:w="738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Long-term liabilities:</w:t>
            </w:r>
          </w:p>
        </w:tc>
        <w:tc>
          <w:tcPr>
            <w:tcW w:w="360" w:type="dxa"/>
            <w:vAlign w:val="bottom"/>
            <w:shd w:val="clear" w:color="auto" w:fill="E6E7E8"/>
          </w:tcPr>
          <w:p>
            <w:pPr>
              <w:spacing w:after="0"/>
              <w:rPr>
                <w:sz w:val="18"/>
                <w:szCs w:val="18"/>
                <w:color w:val="auto"/>
              </w:rPr>
            </w:pPr>
          </w:p>
        </w:tc>
        <w:tc>
          <w:tcPr>
            <w:tcW w:w="1320" w:type="dxa"/>
            <w:vAlign w:val="bottom"/>
            <w:shd w:val="clear" w:color="auto" w:fill="E6E7E8"/>
          </w:tcPr>
          <w:p>
            <w:pPr>
              <w:spacing w:after="0"/>
              <w:rPr>
                <w:sz w:val="18"/>
                <w:szCs w:val="18"/>
                <w:color w:val="auto"/>
              </w:rPr>
            </w:pPr>
          </w:p>
        </w:tc>
        <w:tc>
          <w:tcPr>
            <w:tcW w:w="10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100" w:type="dxa"/>
            <w:vAlign w:val="bottom"/>
            <w:shd w:val="clear" w:color="auto" w:fill="E6E7E8"/>
          </w:tcPr>
          <w:p>
            <w:pPr>
              <w:spacing w:after="0"/>
              <w:rPr>
                <w:sz w:val="18"/>
                <w:szCs w:val="18"/>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Long-term operating lease liability, less current portion</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1,138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2,486</w:t>
            </w: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Long-term accrued income taxes</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738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18"/>
                <w:szCs w:val="18"/>
                <w:color w:val="231F20"/>
              </w:rPr>
              <w:t>Long-term severance liability</w:t>
            </w:r>
          </w:p>
        </w:tc>
        <w:tc>
          <w:tcPr>
            <w:tcW w:w="36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31"/>
              <w:spacing w:after="0"/>
              <w:rPr>
                <w:sz w:val="20"/>
                <w:szCs w:val="20"/>
                <w:color w:val="auto"/>
              </w:rPr>
            </w:pPr>
            <w:r>
              <w:rPr>
                <w:rFonts w:ascii="Times New Roman" w:cs="Times New Roman" w:eastAsia="Times New Roman" w:hAnsi="Times New Roman"/>
                <w:sz w:val="18"/>
                <w:szCs w:val="18"/>
                <w:color w:val="231F20"/>
              </w:rPr>
              <w:t>330</w:t>
            </w:r>
          </w:p>
        </w:tc>
        <w:tc>
          <w:tcPr>
            <w:tcW w:w="100" w:type="dxa"/>
            <w:vAlign w:val="bottom"/>
            <w:tcBorders>
              <w:bottom w:val="single" w:sz="8" w:color="E6E7E8"/>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231F20"/>
              </w:rPr>
              <w:t>987</w:t>
            </w:r>
          </w:p>
        </w:tc>
      </w:tr>
      <w:tr>
        <w:trPr>
          <w:trHeight w:val="216"/>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Total liabilities</w:t>
            </w:r>
          </w:p>
        </w:tc>
        <w:tc>
          <w:tcPr>
            <w:tcW w:w="360" w:type="dxa"/>
            <w:vAlign w:val="bottom"/>
            <w:shd w:val="clear" w:color="auto" w:fill="E6E7E8"/>
          </w:tcPr>
          <w:p>
            <w:pPr>
              <w:spacing w:after="0"/>
              <w:rPr>
                <w:sz w:val="18"/>
                <w:szCs w:val="18"/>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22,532</w:t>
            </w:r>
          </w:p>
        </w:tc>
        <w:tc>
          <w:tcPr>
            <w:tcW w:w="100" w:type="dxa"/>
            <w:vAlign w:val="bottom"/>
            <w:shd w:val="clear" w:color="auto" w:fill="E6E7E8"/>
          </w:tcPr>
          <w:p>
            <w:pPr>
              <w:spacing w:after="0"/>
              <w:rPr>
                <w:sz w:val="18"/>
                <w:szCs w:val="18"/>
                <w:color w:val="auto"/>
              </w:rPr>
            </w:pPr>
          </w:p>
        </w:tc>
        <w:tc>
          <w:tcPr>
            <w:tcW w:w="540" w:type="dxa"/>
            <w:vAlign w:val="bottom"/>
            <w:shd w:val="clear" w:color="auto" w:fill="E6E7E8"/>
          </w:tcPr>
          <w:p>
            <w:pPr>
              <w:spacing w:after="0"/>
              <w:rPr>
                <w:sz w:val="18"/>
                <w:szCs w:val="18"/>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24,050</w:t>
            </w:r>
          </w:p>
        </w:tc>
      </w:tr>
      <w:tr>
        <w:trPr>
          <w:trHeight w:val="221"/>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231F20"/>
              </w:rPr>
              <w:t>Commitments and contingent liabilities (Note 8)</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1"/>
        </w:trPr>
        <w:tc>
          <w:tcPr>
            <w:tcW w:w="7380" w:type="dxa"/>
            <w:vAlign w:val="bottom"/>
            <w:shd w:val="clear" w:color="auto" w:fill="E6E7E8"/>
          </w:tcPr>
          <w:p>
            <w:pPr>
              <w:spacing w:after="0"/>
              <w:rPr>
                <w:sz w:val="20"/>
                <w:szCs w:val="20"/>
                <w:color w:val="auto"/>
              </w:rPr>
            </w:pPr>
            <w:r>
              <w:rPr>
                <w:rFonts w:ascii="Times New Roman" w:cs="Times New Roman" w:eastAsia="Times New Roman" w:hAnsi="Times New Roman"/>
                <w:sz w:val="18"/>
                <w:szCs w:val="18"/>
                <w:color w:val="231F20"/>
              </w:rPr>
              <w:t>Shareholders’ equity:</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spacing w:after="0"/>
              <w:rPr>
                <w:sz w:val="19"/>
                <w:szCs w:val="19"/>
                <w:color w:val="auto"/>
              </w:rPr>
            </w:pP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Preferred Stock, no par value; 20,000,000 shares authorized; none outstanding</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r>
      <w:tr>
        <w:trPr>
          <w:trHeight w:val="202"/>
        </w:trPr>
        <w:tc>
          <w:tcPr>
            <w:tcW w:w="7380" w:type="dxa"/>
            <w:vAlign w:val="bottom"/>
            <w:shd w:val="clear" w:color="auto" w:fill="E6E7E8"/>
          </w:tcPr>
          <w:p>
            <w:pPr>
              <w:ind w:left="200"/>
              <w:spacing w:after="0" w:line="202" w:lineRule="exact"/>
              <w:rPr>
                <w:sz w:val="20"/>
                <w:szCs w:val="20"/>
                <w:color w:val="auto"/>
              </w:rPr>
            </w:pPr>
            <w:r>
              <w:rPr>
                <w:rFonts w:ascii="Times New Roman" w:cs="Times New Roman" w:eastAsia="Times New Roman" w:hAnsi="Times New Roman"/>
                <w:sz w:val="18"/>
                <w:szCs w:val="18"/>
                <w:color w:val="231F20"/>
              </w:rPr>
              <w:t>Common Stock, par value $.01; 100,000,000 shares authorized and 13,715,016 shares</w:t>
            </w:r>
          </w:p>
        </w:tc>
        <w:tc>
          <w:tcPr>
            <w:tcW w:w="360" w:type="dxa"/>
            <w:vAlign w:val="bottom"/>
            <w:shd w:val="clear" w:color="auto" w:fill="E6E7E8"/>
          </w:tcPr>
          <w:p>
            <w:pPr>
              <w:spacing w:after="0"/>
              <w:rPr>
                <w:sz w:val="17"/>
                <w:szCs w:val="17"/>
                <w:color w:val="auto"/>
              </w:rPr>
            </w:pPr>
          </w:p>
        </w:tc>
        <w:tc>
          <w:tcPr>
            <w:tcW w:w="1320" w:type="dxa"/>
            <w:vAlign w:val="bottom"/>
            <w:shd w:val="clear" w:color="auto" w:fill="E6E7E8"/>
          </w:tcPr>
          <w:p>
            <w:pPr>
              <w:spacing w:after="0"/>
              <w:rPr>
                <w:sz w:val="17"/>
                <w:szCs w:val="17"/>
                <w:color w:val="auto"/>
              </w:rPr>
            </w:pPr>
          </w:p>
        </w:tc>
        <w:tc>
          <w:tcPr>
            <w:tcW w:w="100" w:type="dxa"/>
            <w:vAlign w:val="bottom"/>
            <w:shd w:val="clear" w:color="auto" w:fill="E6E7E8"/>
          </w:tcPr>
          <w:p>
            <w:pPr>
              <w:spacing w:after="0"/>
              <w:rPr>
                <w:sz w:val="17"/>
                <w:szCs w:val="17"/>
                <w:color w:val="auto"/>
              </w:rPr>
            </w:pPr>
          </w:p>
        </w:tc>
        <w:tc>
          <w:tcPr>
            <w:tcW w:w="540" w:type="dxa"/>
            <w:vAlign w:val="bottom"/>
            <w:shd w:val="clear" w:color="auto" w:fill="E6E7E8"/>
          </w:tcPr>
          <w:p>
            <w:pPr>
              <w:spacing w:after="0"/>
              <w:rPr>
                <w:sz w:val="17"/>
                <w:szCs w:val="17"/>
                <w:color w:val="auto"/>
              </w:rPr>
            </w:pPr>
          </w:p>
        </w:tc>
        <w:tc>
          <w:tcPr>
            <w:tcW w:w="1100" w:type="dxa"/>
            <w:vAlign w:val="bottom"/>
            <w:shd w:val="clear" w:color="auto" w:fill="E6E7E8"/>
          </w:tcPr>
          <w:p>
            <w:pPr>
              <w:spacing w:after="0"/>
              <w:rPr>
                <w:sz w:val="17"/>
                <w:szCs w:val="17"/>
                <w:color w:val="auto"/>
              </w:rPr>
            </w:pPr>
          </w:p>
        </w:tc>
      </w:tr>
      <w:tr>
        <w:trPr>
          <w:trHeight w:val="225"/>
        </w:trPr>
        <w:tc>
          <w:tcPr>
            <w:tcW w:w="7380" w:type="dxa"/>
            <w:vAlign w:val="bottom"/>
            <w:shd w:val="clear" w:color="auto" w:fill="E6E7E8"/>
          </w:tcPr>
          <w:p>
            <w:pPr>
              <w:ind w:left="340"/>
              <w:spacing w:after="0"/>
              <w:rPr>
                <w:sz w:val="20"/>
                <w:szCs w:val="20"/>
                <w:color w:val="auto"/>
              </w:rPr>
            </w:pPr>
            <w:r>
              <w:rPr>
                <w:rFonts w:ascii="Times New Roman" w:cs="Times New Roman" w:eastAsia="Times New Roman" w:hAnsi="Times New Roman"/>
                <w:sz w:val="18"/>
                <w:szCs w:val="18"/>
                <w:color w:val="231F20"/>
              </w:rPr>
              <w:t>issued as of December 31, 2025 and 13,444,712 shares issued as of December 31, 2024</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137</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135</w:t>
            </w: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Additional paid-in-capital</w:t>
            </w: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42,515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38,277</w:t>
            </w:r>
          </w:p>
        </w:tc>
      </w:tr>
      <w:tr>
        <w:trPr>
          <w:trHeight w:val="221"/>
        </w:trPr>
        <w:tc>
          <w:tcPr>
            <w:tcW w:w="73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18"/>
                <w:szCs w:val="18"/>
                <w:color w:val="231F20"/>
              </w:rPr>
              <w:t>Retained earnings</w:t>
            </w:r>
          </w:p>
        </w:tc>
        <w:tc>
          <w:tcPr>
            <w:tcW w:w="360" w:type="dxa"/>
            <w:vAlign w:val="bottom"/>
            <w:shd w:val="clear" w:color="auto" w:fill="E6E7E8"/>
          </w:tcPr>
          <w:p>
            <w:pPr>
              <w:spacing w:after="0"/>
              <w:rPr>
                <w:sz w:val="19"/>
                <w:szCs w:val="19"/>
                <w:color w:val="auto"/>
              </w:rPr>
            </w:pPr>
          </w:p>
        </w:tc>
        <w:tc>
          <w:tcPr>
            <w:tcW w:w="1320" w:type="dxa"/>
            <w:vAlign w:val="bottom"/>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56,427</w:t>
            </w:r>
          </w:p>
        </w:tc>
        <w:tc>
          <w:tcPr>
            <w:tcW w:w="10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1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55,817</w:t>
            </w:r>
          </w:p>
        </w:tc>
      </w:tr>
      <w:tr>
        <w:trPr>
          <w:trHeight w:val="22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Accumulated other comprehensive income (loss)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(1,910)</w:t>
            </w:r>
          </w:p>
        </w:tc>
      </w:tr>
      <w:tr>
        <w:trPr>
          <w:trHeight w:val="202"/>
        </w:trPr>
        <w:tc>
          <w:tcPr>
            <w:tcW w:w="7380" w:type="dxa"/>
            <w:vAlign w:val="bottom"/>
            <w:shd w:val="clear" w:color="auto" w:fill="E6E7E8"/>
          </w:tcPr>
          <w:p>
            <w:pPr>
              <w:ind w:left="200"/>
              <w:spacing w:after="0" w:line="202" w:lineRule="exact"/>
              <w:rPr>
                <w:sz w:val="20"/>
                <w:szCs w:val="20"/>
                <w:color w:val="auto"/>
              </w:rPr>
            </w:pPr>
            <w:r>
              <w:rPr>
                <w:rFonts w:ascii="Times New Roman" w:cs="Times New Roman" w:eastAsia="Times New Roman" w:hAnsi="Times New Roman"/>
                <w:sz w:val="18"/>
                <w:szCs w:val="18"/>
                <w:color w:val="231F20"/>
              </w:rPr>
              <w:t>Treasury stock, at cost; 2,022,864 shares as of December 31, 2025 and 1,723,341 as of</w:t>
            </w:r>
          </w:p>
        </w:tc>
        <w:tc>
          <w:tcPr>
            <w:tcW w:w="360" w:type="dxa"/>
            <w:vAlign w:val="bottom"/>
            <w:shd w:val="clear" w:color="auto" w:fill="E6E7E8"/>
          </w:tcPr>
          <w:p>
            <w:pPr>
              <w:spacing w:after="0"/>
              <w:rPr>
                <w:sz w:val="17"/>
                <w:szCs w:val="17"/>
                <w:color w:val="auto"/>
              </w:rPr>
            </w:pPr>
          </w:p>
        </w:tc>
        <w:tc>
          <w:tcPr>
            <w:tcW w:w="1320" w:type="dxa"/>
            <w:vAlign w:val="bottom"/>
            <w:shd w:val="clear" w:color="auto" w:fill="E6E7E8"/>
          </w:tcPr>
          <w:p>
            <w:pPr>
              <w:spacing w:after="0"/>
              <w:rPr>
                <w:sz w:val="17"/>
                <w:szCs w:val="17"/>
                <w:color w:val="auto"/>
              </w:rPr>
            </w:pPr>
          </w:p>
        </w:tc>
        <w:tc>
          <w:tcPr>
            <w:tcW w:w="100" w:type="dxa"/>
            <w:vAlign w:val="bottom"/>
            <w:shd w:val="clear" w:color="auto" w:fill="E6E7E8"/>
          </w:tcPr>
          <w:p>
            <w:pPr>
              <w:spacing w:after="0"/>
              <w:rPr>
                <w:sz w:val="17"/>
                <w:szCs w:val="17"/>
                <w:color w:val="auto"/>
              </w:rPr>
            </w:pPr>
          </w:p>
        </w:tc>
        <w:tc>
          <w:tcPr>
            <w:tcW w:w="540" w:type="dxa"/>
            <w:vAlign w:val="bottom"/>
            <w:shd w:val="clear" w:color="auto" w:fill="E6E7E8"/>
          </w:tcPr>
          <w:p>
            <w:pPr>
              <w:spacing w:after="0"/>
              <w:rPr>
                <w:sz w:val="17"/>
                <w:szCs w:val="17"/>
                <w:color w:val="auto"/>
              </w:rPr>
            </w:pPr>
          </w:p>
        </w:tc>
        <w:tc>
          <w:tcPr>
            <w:tcW w:w="1100" w:type="dxa"/>
            <w:vAlign w:val="bottom"/>
            <w:shd w:val="clear" w:color="auto" w:fill="E6E7E8"/>
          </w:tcPr>
          <w:p>
            <w:pPr>
              <w:spacing w:after="0"/>
              <w:rPr>
                <w:sz w:val="17"/>
                <w:szCs w:val="17"/>
                <w:color w:val="auto"/>
              </w:rPr>
            </w:pPr>
          </w:p>
        </w:tc>
      </w:tr>
      <w:tr>
        <w:trPr>
          <w:trHeight w:val="245"/>
        </w:trPr>
        <w:tc>
          <w:tcPr>
            <w:tcW w:w="7380" w:type="dxa"/>
            <w:vAlign w:val="bottom"/>
            <w:tcBorders>
              <w:bottom w:val="single" w:sz="8" w:color="E6E7E8"/>
            </w:tcBorders>
            <w:shd w:val="clear" w:color="auto" w:fill="E6E7E8"/>
          </w:tcPr>
          <w:p>
            <w:pPr>
              <w:ind w:left="340"/>
              <w:spacing w:after="0"/>
              <w:rPr>
                <w:sz w:val="20"/>
                <w:szCs w:val="20"/>
                <w:color w:val="auto"/>
              </w:rPr>
            </w:pPr>
            <w:r>
              <w:rPr>
                <w:rFonts w:ascii="Times New Roman" w:cs="Times New Roman" w:eastAsia="Times New Roman" w:hAnsi="Times New Roman"/>
                <w:sz w:val="18"/>
                <w:szCs w:val="18"/>
                <w:color w:val="231F20"/>
              </w:rPr>
              <w:t>December 31, 2024</w:t>
            </w:r>
          </w:p>
        </w:tc>
        <w:tc>
          <w:tcPr>
            <w:tcW w:w="360" w:type="dxa"/>
            <w:vAlign w:val="bottom"/>
            <w:tcBorders>
              <w:bottom w:val="single" w:sz="8" w:color="231F20"/>
            </w:tcBorders>
            <w:shd w:val="clear" w:color="auto" w:fill="E6E7E8"/>
          </w:tcPr>
          <w:p>
            <w:pPr>
              <w:spacing w:after="0"/>
              <w:rPr>
                <w:sz w:val="21"/>
                <w:szCs w:val="21"/>
                <w:color w:val="auto"/>
              </w:rPr>
            </w:pPr>
          </w:p>
        </w:tc>
        <w:tc>
          <w:tcPr>
            <w:tcW w:w="13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(7,131)</w:t>
            </w:r>
          </w:p>
        </w:tc>
        <w:tc>
          <w:tcPr>
            <w:tcW w:w="100" w:type="dxa"/>
            <w:vAlign w:val="bottom"/>
            <w:tcBorders>
              <w:bottom w:val="single" w:sz="8" w:color="E6E7E8"/>
            </w:tcBorders>
            <w:shd w:val="clear" w:color="auto" w:fill="E6E7E8"/>
          </w:tcPr>
          <w:p>
            <w:pPr>
              <w:spacing w:after="0"/>
              <w:rPr>
                <w:sz w:val="21"/>
                <w:szCs w:val="21"/>
                <w:color w:val="auto"/>
              </w:rPr>
            </w:pPr>
          </w:p>
        </w:tc>
        <w:tc>
          <w:tcPr>
            <w:tcW w:w="540" w:type="dxa"/>
            <w:vAlign w:val="bottom"/>
            <w:tcBorders>
              <w:bottom w:val="single" w:sz="8" w:color="231F20"/>
            </w:tcBorders>
            <w:shd w:val="clear" w:color="auto" w:fill="E6E7E8"/>
          </w:tcPr>
          <w:p>
            <w:pPr>
              <w:spacing w:after="0"/>
              <w:rPr>
                <w:sz w:val="21"/>
                <w:szCs w:val="21"/>
                <w:color w:val="auto"/>
              </w:rPr>
            </w:pPr>
          </w:p>
        </w:tc>
        <w:tc>
          <w:tcPr>
            <w:tcW w:w="11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8"/>
                <w:szCs w:val="18"/>
                <w:color w:val="231F20"/>
              </w:rPr>
              <w:t>(4,885)</w:t>
            </w:r>
          </w:p>
        </w:tc>
      </w:tr>
      <w:tr>
        <w:trPr>
          <w:trHeight w:val="196"/>
        </w:trPr>
        <w:tc>
          <w:tcPr>
            <w:tcW w:w="7380" w:type="dxa"/>
            <w:vAlign w:val="bottom"/>
            <w:tcBorders>
              <w:bottom w:val="single" w:sz="8" w:color="E6E7E8"/>
            </w:tcBorders>
          </w:tcPr>
          <w:p>
            <w:pPr>
              <w:ind w:left="200"/>
              <w:spacing w:after="0" w:line="196" w:lineRule="exact"/>
              <w:rPr>
                <w:sz w:val="20"/>
                <w:szCs w:val="20"/>
                <w:color w:val="auto"/>
              </w:rPr>
            </w:pPr>
            <w:r>
              <w:rPr>
                <w:rFonts w:ascii="Times New Roman" w:cs="Times New Roman" w:eastAsia="Times New Roman" w:hAnsi="Times New Roman"/>
                <w:sz w:val="18"/>
                <w:szCs w:val="18"/>
                <w:color w:val="231F20"/>
              </w:rPr>
              <w:t>Total shareholders’ equity</w:t>
            </w:r>
          </w:p>
        </w:tc>
        <w:tc>
          <w:tcPr>
            <w:tcW w:w="3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231F20"/>
              </w:rPr>
              <w:t>89,308</w:t>
            </w:r>
          </w:p>
        </w:tc>
        <w:tc>
          <w:tcPr>
            <w:tcW w:w="100" w:type="dxa"/>
            <w:vAlign w:val="bottom"/>
            <w:tcBorders>
              <w:bottom w:val="single" w:sz="8" w:color="E6E7E8"/>
            </w:tcBorders>
          </w:tcPr>
          <w:p>
            <w:pPr>
              <w:spacing w:after="0"/>
              <w:rPr>
                <w:sz w:val="17"/>
                <w:szCs w:val="17"/>
                <w:color w:val="auto"/>
              </w:rPr>
            </w:pPr>
          </w:p>
        </w:tc>
        <w:tc>
          <w:tcPr>
            <w:tcW w:w="54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231F20"/>
              </w:rPr>
              <w:t>87,434</w:t>
            </w:r>
          </w:p>
        </w:tc>
      </w:tr>
      <w:tr>
        <w:trPr>
          <w:trHeight w:val="236"/>
        </w:trPr>
        <w:tc>
          <w:tcPr>
            <w:tcW w:w="7380" w:type="dxa"/>
            <w:vAlign w:val="bottom"/>
            <w:tcBorders>
              <w:bottom w:val="single" w:sz="8" w:color="E6E7E8"/>
            </w:tcBorders>
            <w:shd w:val="clear" w:color="auto" w:fill="E6E7E8"/>
          </w:tcPr>
          <w:p>
            <w:pPr>
              <w:ind w:left="400"/>
              <w:spacing w:after="0"/>
              <w:rPr>
                <w:sz w:val="20"/>
                <w:szCs w:val="20"/>
                <w:color w:val="auto"/>
              </w:rPr>
            </w:pPr>
            <w:r>
              <w:rPr>
                <w:rFonts w:ascii="Times New Roman" w:cs="Times New Roman" w:eastAsia="Times New Roman" w:hAnsi="Times New Roman"/>
                <w:sz w:val="18"/>
                <w:szCs w:val="18"/>
                <w:color w:val="231F20"/>
              </w:rPr>
              <w:t>Total liabilities and shareholders’ equity</w:t>
            </w:r>
          </w:p>
        </w:tc>
        <w:tc>
          <w:tcPr>
            <w:tcW w:w="360" w:type="dxa"/>
            <w:vAlign w:val="bottom"/>
            <w:tcBorders>
              <w:bottom w:val="single" w:sz="8" w:color="231F20"/>
            </w:tcBorders>
            <w:shd w:val="clear" w:color="auto" w:fill="E6E7E8"/>
          </w:tcPr>
          <w:p>
            <w:pPr>
              <w:jc w:val="right"/>
              <w:ind w:right="17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tcBorders>
              <w:bottom w:val="single" w:sz="8" w:color="231F20"/>
            </w:tcBorders>
            <w:shd w:val="clear" w:color="auto" w:fill="E6E7E8"/>
          </w:tcPr>
          <w:p>
            <w:pPr>
              <w:jc w:val="right"/>
              <w:ind w:right="31"/>
              <w:spacing w:after="0"/>
              <w:rPr>
                <w:sz w:val="20"/>
                <w:szCs w:val="20"/>
                <w:color w:val="auto"/>
              </w:rPr>
            </w:pPr>
            <w:r>
              <w:rPr>
                <w:rFonts w:ascii="Times New Roman" w:cs="Times New Roman" w:eastAsia="Times New Roman" w:hAnsi="Times New Roman"/>
                <w:sz w:val="18"/>
                <w:szCs w:val="18"/>
                <w:color w:val="231F20"/>
              </w:rPr>
              <w:t>111,840</w:t>
            </w:r>
          </w:p>
        </w:tc>
        <w:tc>
          <w:tcPr>
            <w:tcW w:w="100" w:type="dxa"/>
            <w:vAlign w:val="bottom"/>
            <w:tcBorders>
              <w:bottom w:val="single" w:sz="8" w:color="E6E7E8"/>
            </w:tcBorders>
            <w:shd w:val="clear" w:color="auto" w:fill="E6E7E8"/>
          </w:tcPr>
          <w:p>
            <w:pPr>
              <w:spacing w:after="0"/>
              <w:rPr>
                <w:sz w:val="20"/>
                <w:szCs w:val="20"/>
                <w:color w:val="auto"/>
              </w:rPr>
            </w:pPr>
          </w:p>
        </w:tc>
        <w:tc>
          <w:tcPr>
            <w:tcW w:w="540" w:type="dxa"/>
            <w:vAlign w:val="bottom"/>
            <w:tcBorders>
              <w:bottom w:val="single" w:sz="8" w:color="231F20"/>
            </w:tcBorders>
            <w:shd w:val="clear" w:color="auto" w:fill="E6E7E8"/>
          </w:tcPr>
          <w:p>
            <w:pPr>
              <w:jc w:val="right"/>
              <w:ind w:right="353"/>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231F20"/>
            </w:tcBorders>
            <w:shd w:val="clear" w:color="auto" w:fill="E6E7E8"/>
          </w:tcPr>
          <w:p>
            <w:pPr>
              <w:jc w:val="right"/>
              <w:ind w:right="10"/>
              <w:spacing w:after="0"/>
              <w:rPr>
                <w:sz w:val="20"/>
                <w:szCs w:val="20"/>
                <w:color w:val="auto"/>
              </w:rPr>
            </w:pPr>
            <w:r>
              <w:rPr>
                <w:rFonts w:ascii="Times New Roman" w:cs="Times New Roman" w:eastAsia="Times New Roman" w:hAnsi="Times New Roman"/>
                <w:sz w:val="18"/>
                <w:szCs w:val="18"/>
                <w:color w:val="231F20"/>
              </w:rPr>
              <w:t>111,484</w:t>
            </w:r>
          </w:p>
        </w:tc>
      </w:tr>
      <w:tr>
        <w:trPr>
          <w:trHeight w:val="20"/>
        </w:trPr>
        <w:tc>
          <w:tcPr>
            <w:tcW w:w="738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800"/>
          </w:cols>
          <w:pgMar w:left="540" w:top="746" w:right="540"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 except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40" w:type="dxa"/>
            <w:vAlign w:val="bottom"/>
            <w:tcBorders>
              <w:bottom w:val="single" w:sz="8" w:color="E6E7E8"/>
            </w:tcBorders>
          </w:tcPr>
          <w:p>
            <w:pPr>
              <w:spacing w:after="0"/>
              <w:rPr>
                <w:sz w:val="21"/>
                <w:szCs w:val="21"/>
                <w:color w:val="auto"/>
              </w:rPr>
            </w:pPr>
          </w:p>
        </w:tc>
        <w:tc>
          <w:tcPr>
            <w:tcW w:w="1140" w:type="dxa"/>
            <w:vAlign w:val="bottom"/>
            <w:tcBorders>
              <w:bottom w:val="single" w:sz="8" w:color="E6E7E8"/>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Revenues</w:t>
            </w:r>
          </w:p>
        </w:tc>
        <w:tc>
          <w:tcPr>
            <w:tcW w:w="1140" w:type="dxa"/>
            <w:vAlign w:val="bottom"/>
            <w:shd w:val="clear" w:color="auto" w:fill="E6E7E8"/>
          </w:tcPr>
          <w:p>
            <w:pPr>
              <w:spacing w:after="0"/>
              <w:rPr>
                <w:sz w:val="20"/>
                <w:szCs w:val="20"/>
                <w:color w:val="auto"/>
              </w:rPr>
            </w:pPr>
          </w:p>
        </w:tc>
        <w:tc>
          <w:tcPr>
            <w:tcW w:w="300" w:type="dxa"/>
            <w:vAlign w:val="bottom"/>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191,371</w:t>
            </w:r>
          </w:p>
        </w:tc>
        <w:tc>
          <w:tcPr>
            <w:tcW w:w="260" w:type="dxa"/>
            <w:vAlign w:val="bottom"/>
            <w:shd w:val="clear" w:color="auto" w:fill="E6E7E8"/>
          </w:tcPr>
          <w:p>
            <w:pPr>
              <w:spacing w:after="0"/>
              <w:rPr>
                <w:sz w:val="20"/>
                <w:szCs w:val="20"/>
                <w:color w:val="auto"/>
              </w:rPr>
            </w:pPr>
          </w:p>
        </w:tc>
        <w:tc>
          <w:tcPr>
            <w:tcW w:w="280" w:type="dxa"/>
            <w:vAlign w:val="bottom"/>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198,943</w:t>
            </w:r>
          </w:p>
        </w:tc>
        <w:tc>
          <w:tcPr>
            <w:tcW w:w="260" w:type="dxa"/>
            <w:vAlign w:val="bottom"/>
            <w:shd w:val="clear" w:color="auto" w:fill="E6E7E8"/>
          </w:tcPr>
          <w:p>
            <w:pPr>
              <w:spacing w:after="0"/>
              <w:rPr>
                <w:sz w:val="20"/>
                <w:szCs w:val="20"/>
                <w:color w:val="auto"/>
              </w:rPr>
            </w:pPr>
          </w:p>
        </w:tc>
        <w:tc>
          <w:tcPr>
            <w:tcW w:w="280" w:type="dxa"/>
            <w:vAlign w:val="bottom"/>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201,098</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Cost of revenues</w:t>
            </w:r>
          </w:p>
        </w:tc>
        <w:tc>
          <w:tcPr>
            <w:tcW w:w="1140" w:type="dxa"/>
            <w:vAlign w:val="bottom"/>
            <w:tcBorders>
              <w:bottom w:val="single" w:sz="8" w:color="E6E7E8"/>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138,315</w:t>
            </w:r>
          </w:p>
        </w:tc>
        <w:tc>
          <w:tcPr>
            <w:tcW w:w="2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143,346</w:t>
            </w:r>
          </w:p>
        </w:tc>
        <w:tc>
          <w:tcPr>
            <w:tcW w:w="2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150,062</w:t>
            </w:r>
          </w:p>
        </w:tc>
        <w:tc>
          <w:tcPr>
            <w:tcW w:w="80" w:type="dxa"/>
            <w:vAlign w:val="bottom"/>
            <w:tcBorders>
              <w:bottom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Gross profit</w:t>
            </w:r>
          </w:p>
        </w:tc>
        <w:tc>
          <w:tcPr>
            <w:tcW w:w="11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53,056</w:t>
            </w:r>
          </w:p>
        </w:tc>
        <w:tc>
          <w:tcPr>
            <w:tcW w:w="26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55,597</w:t>
            </w:r>
          </w:p>
        </w:tc>
        <w:tc>
          <w:tcPr>
            <w:tcW w:w="26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51,036</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Operating expenses</w:t>
            </w:r>
          </w:p>
        </w:tc>
        <w:tc>
          <w:tcPr>
            <w:tcW w:w="1140" w:type="dxa"/>
            <w:vAlign w:val="bottom"/>
            <w:shd w:val="clear" w:color="auto" w:fill="E6E7E8"/>
          </w:tcPr>
          <w:p>
            <w:pPr>
              <w:spacing w:after="0"/>
              <w:rPr>
                <w:sz w:val="21"/>
                <w:szCs w:val="21"/>
                <w:color w:val="auto"/>
              </w:rPr>
            </w:pPr>
          </w:p>
        </w:tc>
        <w:tc>
          <w:tcPr>
            <w:tcW w:w="30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53,055</w:t>
            </w:r>
          </w:p>
        </w:tc>
        <w:tc>
          <w:tcPr>
            <w:tcW w:w="2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51,806</w:t>
            </w:r>
          </w:p>
        </w:tc>
        <w:tc>
          <w:tcPr>
            <w:tcW w:w="2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51,911</w:t>
            </w:r>
          </w:p>
        </w:tc>
        <w:tc>
          <w:tcPr>
            <w:tcW w:w="8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Impairment of goodwill</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Employment-related claim, net of recoveries</w:t>
            </w:r>
          </w:p>
        </w:tc>
        <w:tc>
          <w:tcPr>
            <w:tcW w:w="1140" w:type="dxa"/>
            <w:vAlign w:val="bottom"/>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spacing w:after="0"/>
              <w:rPr>
                <w:sz w:val="21"/>
                <w:szCs w:val="21"/>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3,100</w:t>
            </w:r>
          </w:p>
        </w:tc>
        <w:tc>
          <w:tcPr>
            <w:tcW w:w="8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Total selling, general and administrative expenses</w:t>
            </w:r>
          </w:p>
        </w:tc>
        <w:tc>
          <w:tcPr>
            <w:tcW w:w="1140" w:type="dxa"/>
            <w:vAlign w:val="bottom"/>
            <w:tcBorders>
              <w:bottom w:val="single" w:sz="8" w:color="E6E7E8"/>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53,055</w:t>
            </w:r>
          </w:p>
        </w:tc>
        <w:tc>
          <w:tcPr>
            <w:tcW w:w="26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51,806</w:t>
            </w:r>
          </w:p>
        </w:tc>
        <w:tc>
          <w:tcPr>
            <w:tcW w:w="26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60,311</w:t>
            </w:r>
          </w:p>
        </w:tc>
        <w:tc>
          <w:tcPr>
            <w:tcW w:w="8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Income (loss) from operations</w:t>
            </w:r>
          </w:p>
        </w:tc>
        <w:tc>
          <w:tcPr>
            <w:tcW w:w="1140" w:type="dxa"/>
            <w:vAlign w:val="bottom"/>
            <w:shd w:val="clear" w:color="auto" w:fill="E6E7E8"/>
          </w:tcPr>
          <w:p>
            <w:pPr>
              <w:spacing w:after="0"/>
              <w:rPr>
                <w:sz w:val="20"/>
                <w:szCs w:val="20"/>
                <w:color w:val="auto"/>
              </w:rPr>
            </w:pPr>
          </w:p>
        </w:tc>
        <w:tc>
          <w:tcPr>
            <w:tcW w:w="30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6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3,791</w:t>
            </w:r>
          </w:p>
        </w:tc>
        <w:tc>
          <w:tcPr>
            <w:tcW w:w="26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(9,275)</w:t>
            </w:r>
          </w:p>
        </w:tc>
        <w:tc>
          <w:tcPr>
            <w:tcW w:w="8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231F20"/>
              </w:rPr>
              <w:t>Interest income (expense), net</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Other income (expense), net</w:t>
            </w:r>
          </w:p>
        </w:tc>
        <w:tc>
          <w:tcPr>
            <w:tcW w:w="1140" w:type="dxa"/>
            <w:vAlign w:val="bottom"/>
            <w:shd w:val="clear" w:color="auto" w:fill="E6E7E8"/>
          </w:tcPr>
          <w:p>
            <w:pPr>
              <w:spacing w:after="0"/>
              <w:rPr>
                <w:sz w:val="22"/>
                <w:szCs w:val="22"/>
                <w:color w:val="auto"/>
              </w:rPr>
            </w:pPr>
          </w:p>
        </w:tc>
        <w:tc>
          <w:tcPr>
            <w:tcW w:w="300" w:type="dxa"/>
            <w:vAlign w:val="bottom"/>
            <w:shd w:val="clear" w:color="auto" w:fill="E6E7E8"/>
          </w:tcPr>
          <w:p>
            <w:pPr>
              <w:spacing w:after="0"/>
              <w:rPr>
                <w:sz w:val="22"/>
                <w:szCs w:val="22"/>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260" w:type="dxa"/>
            <w:vAlign w:val="bottom"/>
            <w:shd w:val="clear" w:color="auto" w:fill="E6E7E8"/>
          </w:tcPr>
          <w:p>
            <w:pPr>
              <w:spacing w:after="0"/>
              <w:rPr>
                <w:sz w:val="22"/>
                <w:szCs w:val="22"/>
                <w:color w:val="auto"/>
              </w:rPr>
            </w:pPr>
          </w:p>
        </w:tc>
        <w:tc>
          <w:tcPr>
            <w:tcW w:w="280" w:type="dxa"/>
            <w:vAlign w:val="bottom"/>
            <w:shd w:val="clear" w:color="auto" w:fill="E6E7E8"/>
          </w:tcPr>
          <w:p>
            <w:pPr>
              <w:spacing w:after="0"/>
              <w:rPr>
                <w:sz w:val="22"/>
                <w:szCs w:val="22"/>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260" w:type="dxa"/>
            <w:vAlign w:val="bottom"/>
            <w:shd w:val="clear" w:color="auto" w:fill="E6E7E8"/>
          </w:tcPr>
          <w:p>
            <w:pPr>
              <w:spacing w:after="0"/>
              <w:rPr>
                <w:sz w:val="22"/>
                <w:szCs w:val="22"/>
                <w:color w:val="auto"/>
              </w:rPr>
            </w:pPr>
          </w:p>
        </w:tc>
        <w:tc>
          <w:tcPr>
            <w:tcW w:w="280" w:type="dxa"/>
            <w:vAlign w:val="bottom"/>
            <w:shd w:val="clear" w:color="auto" w:fill="E6E7E8"/>
          </w:tcPr>
          <w:p>
            <w:pPr>
              <w:spacing w:after="0"/>
              <w:rPr>
                <w:sz w:val="22"/>
                <w:szCs w:val="22"/>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(75)</w:t>
            </w:r>
          </w:p>
        </w:tc>
        <w:tc>
          <w:tcPr>
            <w:tcW w:w="0" w:type="dxa"/>
            <w:vAlign w:val="bottom"/>
          </w:tcPr>
          <w:p>
            <w:pPr>
              <w:spacing w:after="0"/>
              <w:rPr>
                <w:sz w:val="1"/>
                <w:szCs w:val="1"/>
                <w:color w:val="auto"/>
              </w:rPr>
            </w:pPr>
          </w:p>
        </w:tc>
      </w:tr>
      <w:tr>
        <w:trPr>
          <w:trHeight w:val="219"/>
        </w:trPr>
        <w:tc>
          <w:tcPr>
            <w:tcW w:w="5140" w:type="dxa"/>
            <w:vAlign w:val="bottom"/>
            <w:tcBorders>
              <w:top w:val="single" w:sz="8" w:color="E6E7E8"/>
            </w:tcBorders>
          </w:tcPr>
          <w:p>
            <w:pPr>
              <w:ind w:left="200"/>
              <w:spacing w:after="0" w:line="219" w:lineRule="exact"/>
              <w:rPr>
                <w:sz w:val="20"/>
                <w:szCs w:val="20"/>
                <w:color w:val="auto"/>
              </w:rPr>
            </w:pPr>
            <w:r>
              <w:rPr>
                <w:rFonts w:ascii="Times New Roman" w:cs="Times New Roman" w:eastAsia="Times New Roman" w:hAnsi="Times New Roman"/>
                <w:sz w:val="20"/>
                <w:szCs w:val="20"/>
                <w:color w:val="231F20"/>
              </w:rPr>
              <w:t>Income (loss) before income taxes</w:t>
            </w:r>
          </w:p>
        </w:tc>
        <w:tc>
          <w:tcPr>
            <w:tcW w:w="1140" w:type="dxa"/>
            <w:vAlign w:val="bottom"/>
            <w:tcBorders>
              <w:top w:val="single" w:sz="8" w:color="E6E7E8"/>
            </w:tcBorders>
          </w:tcPr>
          <w:p>
            <w:pPr>
              <w:spacing w:after="0"/>
              <w:rPr>
                <w:sz w:val="19"/>
                <w:szCs w:val="19"/>
                <w:color w:val="auto"/>
              </w:rPr>
            </w:pPr>
          </w:p>
        </w:tc>
        <w:tc>
          <w:tcPr>
            <w:tcW w:w="30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1,062</w:t>
            </w:r>
          </w:p>
        </w:tc>
        <w:tc>
          <w:tcPr>
            <w:tcW w:w="260" w:type="dxa"/>
            <w:vAlign w:val="bottom"/>
            <w:tcBorders>
              <w:top w:val="single" w:sz="8" w:color="E6E7E8"/>
            </w:tcBorders>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4,424</w:t>
            </w:r>
          </w:p>
        </w:tc>
        <w:tc>
          <w:tcPr>
            <w:tcW w:w="260" w:type="dxa"/>
            <w:vAlign w:val="bottom"/>
            <w:tcBorders>
              <w:top w:val="single" w:sz="8" w:color="E6E7E8"/>
            </w:tcBorders>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(9,031)</w:t>
            </w:r>
          </w:p>
        </w:tc>
        <w:tc>
          <w:tcPr>
            <w:tcW w:w="80" w:type="dxa"/>
            <w:vAlign w:val="bottom"/>
            <w:tcBorders>
              <w:top w:val="single" w:sz="8" w:color="E6E7E8"/>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1140" w:type="dxa"/>
            <w:vAlign w:val="bottom"/>
            <w:shd w:val="clear" w:color="auto" w:fill="E6E7E8"/>
          </w:tcPr>
          <w:p>
            <w:pPr>
              <w:spacing w:after="0"/>
              <w:rPr>
                <w:sz w:val="22"/>
                <w:szCs w:val="22"/>
                <w:color w:val="auto"/>
              </w:rPr>
            </w:pPr>
          </w:p>
        </w:tc>
        <w:tc>
          <w:tcPr>
            <w:tcW w:w="300" w:type="dxa"/>
            <w:vAlign w:val="bottom"/>
            <w:shd w:val="clear" w:color="auto" w:fill="E6E7E8"/>
          </w:tcPr>
          <w:p>
            <w:pPr>
              <w:spacing w:after="0"/>
              <w:rPr>
                <w:sz w:val="22"/>
                <w:szCs w:val="22"/>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453</w:t>
            </w:r>
          </w:p>
        </w:tc>
        <w:tc>
          <w:tcPr>
            <w:tcW w:w="260" w:type="dxa"/>
            <w:vAlign w:val="bottom"/>
            <w:shd w:val="clear" w:color="auto" w:fill="E6E7E8"/>
          </w:tcPr>
          <w:p>
            <w:pPr>
              <w:spacing w:after="0"/>
              <w:rPr>
                <w:sz w:val="22"/>
                <w:szCs w:val="22"/>
                <w:color w:val="auto"/>
              </w:rPr>
            </w:pPr>
          </w:p>
        </w:tc>
        <w:tc>
          <w:tcPr>
            <w:tcW w:w="280" w:type="dxa"/>
            <w:vAlign w:val="bottom"/>
            <w:shd w:val="clear" w:color="auto" w:fill="E6E7E8"/>
          </w:tcPr>
          <w:p>
            <w:pPr>
              <w:spacing w:after="0"/>
              <w:rPr>
                <w:sz w:val="22"/>
                <w:szCs w:val="22"/>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1,022</w:t>
            </w:r>
          </w:p>
        </w:tc>
        <w:tc>
          <w:tcPr>
            <w:tcW w:w="260" w:type="dxa"/>
            <w:vAlign w:val="bottom"/>
            <w:shd w:val="clear" w:color="auto" w:fill="E6E7E8"/>
          </w:tcPr>
          <w:p>
            <w:pPr>
              <w:spacing w:after="0"/>
              <w:rPr>
                <w:sz w:val="22"/>
                <w:szCs w:val="22"/>
                <w:color w:val="auto"/>
              </w:rPr>
            </w:pPr>
          </w:p>
        </w:tc>
        <w:tc>
          <w:tcPr>
            <w:tcW w:w="280" w:type="dxa"/>
            <w:vAlign w:val="bottom"/>
            <w:shd w:val="clear" w:color="auto" w:fill="E6E7E8"/>
          </w:tcPr>
          <w:p>
            <w:pPr>
              <w:spacing w:after="0"/>
              <w:rPr>
                <w:sz w:val="22"/>
                <w:szCs w:val="22"/>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(1,893)</w:t>
            </w:r>
          </w:p>
        </w:tc>
        <w:tc>
          <w:tcPr>
            <w:tcW w:w="0" w:type="dxa"/>
            <w:vAlign w:val="bottom"/>
          </w:tcPr>
          <w:p>
            <w:pPr>
              <w:spacing w:after="0"/>
              <w:rPr>
                <w:sz w:val="1"/>
                <w:szCs w:val="1"/>
                <w:color w:val="auto"/>
              </w:rPr>
            </w:pPr>
          </w:p>
        </w:tc>
      </w:tr>
      <w:tr>
        <w:trPr>
          <w:trHeight w:val="259"/>
        </w:trPr>
        <w:tc>
          <w:tcPr>
            <w:tcW w:w="5140" w:type="dxa"/>
            <w:vAlign w:val="bottom"/>
            <w:tcBorders>
              <w:top w:val="single" w:sz="8" w:color="E6E7E8"/>
              <w:bottom w:val="single" w:sz="8" w:color="E6E7E8"/>
            </w:tcBorders>
          </w:tcPr>
          <w:p>
            <w:pPr>
              <w:ind w:left="200"/>
              <w:spacing w:after="0" w:line="219" w:lineRule="exact"/>
              <w:rPr>
                <w:sz w:val="20"/>
                <w:szCs w:val="20"/>
                <w:color w:val="auto"/>
              </w:rPr>
            </w:pPr>
            <w:r>
              <w:rPr>
                <w:rFonts w:ascii="Times New Roman" w:cs="Times New Roman" w:eastAsia="Times New Roman" w:hAnsi="Times New Roman"/>
                <w:sz w:val="20"/>
                <w:szCs w:val="20"/>
                <w:color w:val="231F20"/>
              </w:rPr>
              <w:t>Net income (loss)</w:t>
            </w:r>
          </w:p>
        </w:tc>
        <w:tc>
          <w:tcPr>
            <w:tcW w:w="1140" w:type="dxa"/>
            <w:vAlign w:val="bottom"/>
            <w:tcBorders>
              <w:top w:val="single" w:sz="8" w:color="E6E7E8"/>
              <w:bottom w:val="single" w:sz="8" w:color="E6E7E8"/>
            </w:tcBorders>
          </w:tcPr>
          <w:p>
            <w:pPr>
              <w:spacing w:after="0"/>
              <w:rPr>
                <w:sz w:val="22"/>
                <w:szCs w:val="22"/>
                <w:color w:val="auto"/>
              </w:rPr>
            </w:pPr>
          </w:p>
        </w:tc>
        <w:tc>
          <w:tcPr>
            <w:tcW w:w="300" w:type="dxa"/>
            <w:vAlign w:val="bottom"/>
            <w:tcBorders>
              <w:top w:val="single" w:sz="8" w:color="231F20"/>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609</w:t>
            </w:r>
          </w:p>
        </w:tc>
        <w:tc>
          <w:tcPr>
            <w:tcW w:w="260" w:type="dxa"/>
            <w:vAlign w:val="bottom"/>
            <w:tcBorders>
              <w:top w:val="single" w:sz="8" w:color="E6E7E8"/>
              <w:bottom w:val="single" w:sz="8" w:color="E6E7E8"/>
            </w:tcBorders>
          </w:tcPr>
          <w:p>
            <w:pPr>
              <w:spacing w:after="0"/>
              <w:rPr>
                <w:sz w:val="22"/>
                <w:szCs w:val="22"/>
                <w:color w:val="auto"/>
              </w:rPr>
            </w:pPr>
          </w:p>
        </w:tc>
        <w:tc>
          <w:tcPr>
            <w:tcW w:w="280" w:type="dxa"/>
            <w:vAlign w:val="bottom"/>
            <w:tcBorders>
              <w:top w:val="single" w:sz="8" w:color="231F20"/>
              <w:bottom w:val="single" w:sz="8" w:color="231F20"/>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3,402</w:t>
            </w:r>
          </w:p>
        </w:tc>
        <w:tc>
          <w:tcPr>
            <w:tcW w:w="260" w:type="dxa"/>
            <w:vAlign w:val="bottom"/>
            <w:tcBorders>
              <w:top w:val="single" w:sz="8" w:color="E6E7E8"/>
              <w:bottom w:val="single" w:sz="8" w:color="E6E7E8"/>
            </w:tcBorders>
          </w:tcPr>
          <w:p>
            <w:pPr>
              <w:spacing w:after="0"/>
              <w:rPr>
                <w:sz w:val="22"/>
                <w:szCs w:val="22"/>
                <w:color w:val="auto"/>
              </w:rPr>
            </w:pPr>
          </w:p>
        </w:tc>
        <w:tc>
          <w:tcPr>
            <w:tcW w:w="280" w:type="dxa"/>
            <w:vAlign w:val="bottom"/>
            <w:tcBorders>
              <w:top w:val="single" w:sz="8" w:color="231F20"/>
              <w:bottom w:val="single" w:sz="8" w:color="231F20"/>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(7,138)</w:t>
            </w:r>
          </w:p>
        </w:tc>
        <w:tc>
          <w:tcPr>
            <w:tcW w:w="80" w:type="dxa"/>
            <w:vAlign w:val="bottom"/>
            <w:tcBorders>
              <w:top w:val="single" w:sz="8" w:color="E6E7E8"/>
              <w:bottom w:val="single" w:sz="8" w:color="E6E7E8"/>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Earnings (Loss) Per Share:</w:t>
            </w:r>
          </w:p>
        </w:tc>
        <w:tc>
          <w:tcPr>
            <w:tcW w:w="114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10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20" w:type="dxa"/>
            <w:vAlign w:val="bottom"/>
            <w:shd w:val="clear" w:color="auto" w:fill="E6E7E8"/>
          </w:tcPr>
          <w:p>
            <w:pPr>
              <w:spacing w:after="0"/>
              <w:rPr>
                <w:sz w:val="19"/>
                <w:szCs w:val="19"/>
                <w:color w:val="auto"/>
              </w:rPr>
            </w:pPr>
          </w:p>
        </w:tc>
        <w:tc>
          <w:tcPr>
            <w:tcW w:w="2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2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14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color w:val="231F20"/>
              </w:rPr>
              <w:t>Basic</w:t>
            </w:r>
          </w:p>
        </w:tc>
        <w:tc>
          <w:tcPr>
            <w:tcW w:w="1140" w:type="dxa"/>
            <w:vAlign w:val="bottom"/>
            <w:tcBorders>
              <w:bottom w:val="single" w:sz="8" w:color="E6E7E8"/>
            </w:tcBorders>
          </w:tcPr>
          <w:p>
            <w:pPr>
              <w:spacing w:after="0"/>
              <w:rPr>
                <w:sz w:val="24"/>
                <w:szCs w:val="24"/>
                <w:color w:val="auto"/>
              </w:rPr>
            </w:pPr>
          </w:p>
        </w:tc>
        <w:tc>
          <w:tcPr>
            <w:tcW w:w="30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0.05</w:t>
            </w:r>
          </w:p>
        </w:tc>
        <w:tc>
          <w:tcPr>
            <w:tcW w:w="26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0.29</w:t>
            </w:r>
          </w:p>
        </w:tc>
        <w:tc>
          <w:tcPr>
            <w:tcW w:w="26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(0.61)</w:t>
            </w:r>
          </w:p>
        </w:tc>
        <w:tc>
          <w:tcPr>
            <w:tcW w:w="80" w:type="dxa"/>
            <w:vAlign w:val="bottom"/>
            <w:tcBorders>
              <w:bottom w:val="single" w:sz="8" w:color="E6E7E8"/>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1140" w:type="dxa"/>
            <w:vAlign w:val="bottom"/>
            <w:tcBorders>
              <w:bottom w:val="single" w:sz="8" w:color="E6E7E8"/>
            </w:tcBorders>
            <w:shd w:val="clear" w:color="auto" w:fill="E6E7E8"/>
          </w:tcPr>
          <w:p>
            <w:pPr>
              <w:spacing w:after="0"/>
              <w:rPr>
                <w:sz w:val="21"/>
                <w:szCs w:val="21"/>
                <w:color w:val="auto"/>
              </w:rPr>
            </w:pPr>
          </w:p>
        </w:tc>
        <w:tc>
          <w:tcPr>
            <w:tcW w:w="300" w:type="dxa"/>
            <w:vAlign w:val="bottom"/>
            <w:tcBorders>
              <w:bottom w:val="single" w:sz="8" w:color="231F20"/>
            </w:tcBorders>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0.05</w:t>
            </w:r>
          </w:p>
        </w:tc>
        <w:tc>
          <w:tcPr>
            <w:tcW w:w="260" w:type="dxa"/>
            <w:vAlign w:val="bottom"/>
            <w:tcBorders>
              <w:bottom w:val="single" w:sz="8" w:color="E6E7E8"/>
            </w:tcBorders>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0.28</w:t>
            </w:r>
          </w:p>
        </w:tc>
        <w:tc>
          <w:tcPr>
            <w:tcW w:w="260" w:type="dxa"/>
            <w:vAlign w:val="bottom"/>
            <w:tcBorders>
              <w:bottom w:val="single" w:sz="8" w:color="E6E7E8"/>
            </w:tcBorders>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(0.61)</w:t>
            </w:r>
          </w:p>
        </w:tc>
        <w:tc>
          <w:tcPr>
            <w:tcW w:w="80" w:type="dxa"/>
            <w:vAlign w:val="bottom"/>
            <w:tcBorders>
              <w:bottom w:val="single" w:sz="8" w:color="E6E7E8"/>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 average common shares outstanding:</w:t>
            </w:r>
          </w:p>
        </w:tc>
        <w:tc>
          <w:tcPr>
            <w:tcW w:w="1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Basic</w:t>
            </w:r>
          </w:p>
        </w:tc>
        <w:tc>
          <w:tcPr>
            <w:tcW w:w="1140" w:type="dxa"/>
            <w:vAlign w:val="bottom"/>
            <w:tcBorders>
              <w:bottom w:val="single" w:sz="8" w:color="E6E7E8"/>
            </w:tcBorders>
            <w:shd w:val="clear" w:color="auto" w:fill="E6E7E8"/>
          </w:tcPr>
          <w:p>
            <w:pPr>
              <w:spacing w:after="0"/>
              <w:rPr>
                <w:sz w:val="22"/>
                <w:szCs w:val="22"/>
                <w:color w:val="auto"/>
              </w:rPr>
            </w:pPr>
          </w:p>
        </w:tc>
        <w:tc>
          <w:tcPr>
            <w:tcW w:w="300" w:type="dxa"/>
            <w:vAlign w:val="bottom"/>
            <w:tcBorders>
              <w:bottom w:val="single" w:sz="8" w:color="231F20"/>
            </w:tcBorders>
            <w:shd w:val="clear" w:color="auto" w:fill="E6E7E8"/>
          </w:tcPr>
          <w:p>
            <w:pPr>
              <w:spacing w:after="0"/>
              <w:rPr>
                <w:sz w:val="22"/>
                <w:szCs w:val="22"/>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11,747</w:t>
            </w:r>
          </w:p>
        </w:tc>
        <w:tc>
          <w:tcPr>
            <w:tcW w:w="26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11,669</w:t>
            </w:r>
          </w:p>
        </w:tc>
        <w:tc>
          <w:tcPr>
            <w:tcW w:w="26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11,613</w:t>
            </w:r>
          </w:p>
        </w:tc>
        <w:tc>
          <w:tcPr>
            <w:tcW w:w="80" w:type="dxa"/>
            <w:vAlign w:val="bottom"/>
            <w:tcBorders>
              <w:bottom w:val="single" w:sz="8" w:color="E6E7E8"/>
            </w:tcBorders>
            <w:shd w:val="clear" w:color="auto" w:fill="E6E7E8"/>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1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231F20"/>
              </w:rPr>
              <w:t>Diluted</w:t>
            </w:r>
          </w:p>
        </w:tc>
        <w:tc>
          <w:tcPr>
            <w:tcW w:w="1140" w:type="dxa"/>
            <w:vAlign w:val="bottom"/>
          </w:tcPr>
          <w:p>
            <w:pPr>
              <w:spacing w:after="0"/>
              <w:rPr>
                <w:sz w:val="19"/>
                <w:szCs w:val="19"/>
                <w:color w:val="auto"/>
              </w:rPr>
            </w:pPr>
          </w:p>
        </w:tc>
        <w:tc>
          <w:tcPr>
            <w:tcW w:w="30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11,950</w:t>
            </w:r>
          </w:p>
        </w:tc>
        <w:tc>
          <w:tcPr>
            <w:tcW w:w="26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12,014</w:t>
            </w:r>
          </w:p>
        </w:tc>
        <w:tc>
          <w:tcPr>
            <w:tcW w:w="26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-3439160</wp:posOffset>
            </wp:positionV>
            <wp:extent cx="285496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2854960" cy="381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800"/>
          </w:cols>
          <w:pgMar w:left="540" w:top="746" w:right="540"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80" w:type="dxa"/>
            <w:vAlign w:val="bottom"/>
            <w:gridSpan w:val="7"/>
          </w:tcPr>
          <w:p>
            <w:pPr>
              <w:jc w:val="right"/>
              <w:ind w:right="32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980" w:type="dxa"/>
            <w:vAlign w:val="bottom"/>
          </w:tcPr>
          <w:p>
            <w:pPr>
              <w:spacing w:after="0"/>
              <w:rPr>
                <w:sz w:val="21"/>
                <w:szCs w:val="21"/>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21"/>
                <w:szCs w:val="21"/>
                <w:color w:val="auto"/>
              </w:rPr>
            </w:pPr>
          </w:p>
        </w:tc>
      </w:tr>
      <w:tr>
        <w:trPr>
          <w:trHeight w:val="239"/>
        </w:trPr>
        <w:tc>
          <w:tcPr>
            <w:tcW w:w="498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income (loss)</w:t>
            </w:r>
          </w:p>
        </w:tc>
        <w:tc>
          <w:tcPr>
            <w:tcW w:w="1320" w:type="dxa"/>
            <w:vAlign w:val="bottom"/>
            <w:tcBorders>
              <w:top w:val="single" w:sz="8" w:color="E6E7E8"/>
            </w:tcBorders>
            <w:shd w:val="clear" w:color="auto" w:fill="E6E7E8"/>
          </w:tcPr>
          <w:p>
            <w:pPr>
              <w:spacing w:after="0"/>
              <w:rPr>
                <w:sz w:val="20"/>
                <w:szCs w:val="20"/>
                <w:color w:val="auto"/>
              </w:rPr>
            </w:pPr>
          </w:p>
        </w:tc>
        <w:tc>
          <w:tcPr>
            <w:tcW w:w="860" w:type="dxa"/>
            <w:vAlign w:val="bottom"/>
            <w:tcBorders>
              <w:top w:val="single" w:sz="8" w:color="231F20"/>
            </w:tcBorders>
            <w:shd w:val="clear" w:color="auto" w:fill="E6E7E8"/>
          </w:tcPr>
          <w:p>
            <w:pPr>
              <w:jc w:val="right"/>
              <w:ind w:right="660"/>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609</w:t>
            </w:r>
          </w:p>
        </w:tc>
        <w:tc>
          <w:tcPr>
            <w:tcW w:w="260" w:type="dxa"/>
            <w:vAlign w:val="bottom"/>
            <w:tcBorders>
              <w:top w:val="single" w:sz="8" w:color="E6E7E8"/>
            </w:tcBorders>
            <w:shd w:val="clear" w:color="auto" w:fill="E6E7E8"/>
          </w:tcPr>
          <w:p>
            <w:pPr>
              <w:spacing w:after="0"/>
              <w:rPr>
                <w:sz w:val="20"/>
                <w:szCs w:val="20"/>
                <w:color w:val="auto"/>
              </w:rPr>
            </w:pPr>
          </w:p>
        </w:tc>
        <w:tc>
          <w:tcPr>
            <w:tcW w:w="280" w:type="dxa"/>
            <w:vAlign w:val="bottom"/>
            <w:tcBorders>
              <w:top w:val="single" w:sz="8" w:color="231F20"/>
            </w:tcBorders>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3,402</w:t>
            </w:r>
          </w:p>
        </w:tc>
        <w:tc>
          <w:tcPr>
            <w:tcW w:w="160" w:type="dxa"/>
            <w:vAlign w:val="bottom"/>
            <w:tcBorders>
              <w:top w:val="single" w:sz="8" w:color="E6E7E8"/>
            </w:tcBorders>
            <w:shd w:val="clear" w:color="auto" w:fill="E6E7E8"/>
          </w:tcPr>
          <w:p>
            <w:pPr>
              <w:spacing w:after="0"/>
              <w:rPr>
                <w:sz w:val="20"/>
                <w:szCs w:val="20"/>
                <w:color w:val="auto"/>
              </w:rPr>
            </w:pPr>
          </w:p>
        </w:tc>
        <w:tc>
          <w:tcPr>
            <w:tcW w:w="100" w:type="dxa"/>
            <w:vAlign w:val="bottom"/>
            <w:tcBorders>
              <w:top w:val="single" w:sz="8" w:color="E6E7E8"/>
            </w:tcBorders>
            <w:shd w:val="clear" w:color="auto" w:fill="E6E7E8"/>
          </w:tcPr>
          <w:p>
            <w:pPr>
              <w:spacing w:after="0"/>
              <w:rPr>
                <w:sz w:val="20"/>
                <w:szCs w:val="20"/>
                <w:color w:val="auto"/>
              </w:rPr>
            </w:pPr>
          </w:p>
        </w:tc>
        <w:tc>
          <w:tcPr>
            <w:tcW w:w="420" w:type="dxa"/>
            <w:vAlign w:val="bottom"/>
            <w:tcBorders>
              <w:top w:val="single" w:sz="8" w:color="231F20"/>
            </w:tcBorders>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(7,138)</w:t>
            </w:r>
          </w:p>
        </w:tc>
        <w:tc>
          <w:tcPr>
            <w:tcW w:w="80" w:type="dxa"/>
            <w:vAlign w:val="bottom"/>
            <w:tcBorders>
              <w:top w:val="single" w:sz="8" w:color="E6E7E8"/>
            </w:tcBorders>
            <w:shd w:val="clear" w:color="auto" w:fill="E6E7E8"/>
          </w:tcPr>
          <w:p>
            <w:pPr>
              <w:spacing w:after="0"/>
              <w:rPr>
                <w:sz w:val="20"/>
                <w:szCs w:val="20"/>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231F20"/>
              </w:rPr>
              <w:t>Other comprehensive income (loss):</w:t>
            </w:r>
          </w:p>
        </w:tc>
        <w:tc>
          <w:tcPr>
            <w:tcW w:w="1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9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Foreign currency translation adjustments</w:t>
            </w:r>
          </w:p>
        </w:tc>
        <w:tc>
          <w:tcPr>
            <w:tcW w:w="1320" w:type="dxa"/>
            <w:vAlign w:val="bottom"/>
            <w:shd w:val="clear" w:color="auto" w:fill="E6E7E8"/>
          </w:tcPr>
          <w:p>
            <w:pPr>
              <w:spacing w:after="0"/>
              <w:rPr>
                <w:sz w:val="21"/>
                <w:szCs w:val="21"/>
                <w:color w:val="auto"/>
              </w:rPr>
            </w:pPr>
          </w:p>
        </w:tc>
        <w:tc>
          <w:tcPr>
            <w:tcW w:w="860" w:type="dxa"/>
            <w:vAlign w:val="bottom"/>
            <w:shd w:val="clear" w:color="auto" w:fill="E6E7E8"/>
          </w:tcPr>
          <w:p>
            <w:pPr>
              <w:spacing w:after="0"/>
              <w:rPr>
                <w:sz w:val="21"/>
                <w:szCs w:val="21"/>
                <w:color w:val="auto"/>
              </w:rPr>
            </w:pPr>
          </w:p>
        </w:tc>
        <w:tc>
          <w:tcPr>
            <w:tcW w:w="700" w:type="dxa"/>
            <w:vAlign w:val="bottom"/>
            <w:gridSpan w:val="2"/>
            <w:shd w:val="clear" w:color="auto" w:fill="E6E7E8"/>
          </w:tcPr>
          <w:p>
            <w:pPr>
              <w:jc w:val="right"/>
              <w:ind w:right="200"/>
              <w:spacing w:after="0"/>
              <w:rPr>
                <w:sz w:val="20"/>
                <w:szCs w:val="20"/>
                <w:color w:val="auto"/>
              </w:rPr>
            </w:pPr>
            <w:r>
              <w:rPr>
                <w:rFonts w:ascii="Times New Roman" w:cs="Times New Roman" w:eastAsia="Times New Roman" w:hAnsi="Times New Roman"/>
                <w:sz w:val="20"/>
                <w:szCs w:val="20"/>
                <w:color w:val="231F20"/>
              </w:rPr>
              <w:t>(730)</w:t>
            </w:r>
          </w:p>
        </w:tc>
        <w:tc>
          <w:tcPr>
            <w:tcW w:w="280" w:type="dxa"/>
            <w:vAlign w:val="bottom"/>
            <w:shd w:val="clear" w:color="auto" w:fill="E6E7E8"/>
          </w:tcPr>
          <w:p>
            <w:pPr>
              <w:spacing w:after="0"/>
              <w:rPr>
                <w:sz w:val="21"/>
                <w:szCs w:val="21"/>
                <w:color w:val="auto"/>
              </w:rPr>
            </w:pPr>
          </w:p>
        </w:tc>
        <w:tc>
          <w:tcPr>
            <w:tcW w:w="118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(266)</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96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(89)</w:t>
            </w:r>
          </w:p>
        </w:tc>
      </w:tr>
      <w:tr>
        <w:trPr>
          <w:trHeight w:val="239"/>
        </w:trPr>
        <w:tc>
          <w:tcPr>
            <w:tcW w:w="4980" w:type="dxa"/>
            <w:vAlign w:val="bottom"/>
            <w:tcBorders>
              <w:bottom w:val="single" w:sz="8" w:color="E6E7E8"/>
            </w:tcBorders>
          </w:tcPr>
          <w:p>
            <w:pPr>
              <w:ind w:left="400"/>
              <w:spacing w:after="0"/>
              <w:rPr>
                <w:sz w:val="20"/>
                <w:szCs w:val="20"/>
                <w:color w:val="auto"/>
              </w:rPr>
            </w:pPr>
            <w:r>
              <w:rPr>
                <w:rFonts w:ascii="Times New Roman" w:cs="Times New Roman" w:eastAsia="Times New Roman" w:hAnsi="Times New Roman"/>
                <w:sz w:val="20"/>
                <w:szCs w:val="20"/>
                <w:color w:val="231F20"/>
              </w:rPr>
              <w:t>Total pretax net unrealized (loss)</w:t>
            </w:r>
          </w:p>
        </w:tc>
        <w:tc>
          <w:tcPr>
            <w:tcW w:w="1320" w:type="dxa"/>
            <w:vAlign w:val="bottom"/>
            <w:tcBorders>
              <w:bottom w:val="single" w:sz="8" w:color="E6E7E8"/>
            </w:tcBorders>
          </w:tcPr>
          <w:p>
            <w:pPr>
              <w:spacing w:after="0"/>
              <w:rPr>
                <w:sz w:val="20"/>
                <w:szCs w:val="20"/>
                <w:color w:val="auto"/>
              </w:rPr>
            </w:pPr>
          </w:p>
        </w:tc>
        <w:tc>
          <w:tcPr>
            <w:tcW w:w="860" w:type="dxa"/>
            <w:vAlign w:val="bottom"/>
            <w:tcBorders>
              <w:top w:val="single" w:sz="8" w:color="231F20"/>
              <w:bottom w:val="single" w:sz="8" w:color="231F20"/>
            </w:tcBorders>
          </w:tcPr>
          <w:p>
            <w:pPr>
              <w:spacing w:after="0"/>
              <w:rPr>
                <w:sz w:val="20"/>
                <w:szCs w:val="20"/>
                <w:color w:val="auto"/>
              </w:rPr>
            </w:pPr>
          </w:p>
        </w:tc>
        <w:tc>
          <w:tcPr>
            <w:tcW w:w="4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6"/>
              </w:rPr>
              <w:t>(730)</w:t>
            </w:r>
          </w:p>
        </w:tc>
        <w:tc>
          <w:tcPr>
            <w:tcW w:w="260" w:type="dxa"/>
            <w:vAlign w:val="bottom"/>
            <w:tcBorders>
              <w:bottom w:val="single" w:sz="8" w:color="E6E7E8"/>
            </w:tcBorders>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160" w:type="dxa"/>
            <w:vAlign w:val="bottom"/>
            <w:tcBorders>
              <w:bottom w:val="single" w:sz="8" w:color="E6E7E8"/>
            </w:tcBorders>
          </w:tcPr>
          <w:p>
            <w:pPr>
              <w:spacing w:after="0"/>
              <w:rPr>
                <w:sz w:val="20"/>
                <w:szCs w:val="20"/>
                <w:color w:val="auto"/>
              </w:rPr>
            </w:pPr>
          </w:p>
        </w:tc>
        <w:tc>
          <w:tcPr>
            <w:tcW w:w="100" w:type="dxa"/>
            <w:vAlign w:val="bottom"/>
            <w:tcBorders>
              <w:bottom w:val="single" w:sz="8" w:color="E6E7E8"/>
            </w:tcBorders>
          </w:tcPr>
          <w:p>
            <w:pPr>
              <w:spacing w:after="0"/>
              <w:rPr>
                <w:sz w:val="20"/>
                <w:szCs w:val="20"/>
                <w:color w:val="auto"/>
              </w:rPr>
            </w:pPr>
          </w:p>
        </w:tc>
        <w:tc>
          <w:tcPr>
            <w:tcW w:w="420" w:type="dxa"/>
            <w:vAlign w:val="bottom"/>
            <w:tcBorders>
              <w:top w:val="single" w:sz="8" w:color="231F20"/>
              <w:bottom w:val="single" w:sz="8" w:color="231F20"/>
            </w:tcBorders>
          </w:tcPr>
          <w:p>
            <w:pPr>
              <w:spacing w:after="0"/>
              <w:rPr>
                <w:sz w:val="20"/>
                <w:szCs w:val="20"/>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80" w:type="dxa"/>
            <w:vAlign w:val="bottom"/>
            <w:tcBorders>
              <w:bottom w:val="single" w:sz="8" w:color="E6E7E8"/>
            </w:tcBorders>
          </w:tcPr>
          <w:p>
            <w:pPr>
              <w:spacing w:after="0"/>
              <w:rPr>
                <w:sz w:val="20"/>
                <w:szCs w:val="20"/>
                <w:color w:val="auto"/>
              </w:rPr>
            </w:pPr>
          </w:p>
        </w:tc>
      </w:tr>
      <w:tr>
        <w:trPr>
          <w:trHeight w:val="239"/>
        </w:trPr>
        <w:tc>
          <w:tcPr>
            <w:tcW w:w="49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Total other comprehensive (loss), net of taxes</w:t>
            </w:r>
          </w:p>
        </w:tc>
        <w:tc>
          <w:tcPr>
            <w:tcW w:w="1320" w:type="dxa"/>
            <w:vAlign w:val="bottom"/>
            <w:shd w:val="clear" w:color="auto" w:fill="E6E7E8"/>
          </w:tcPr>
          <w:p>
            <w:pPr>
              <w:spacing w:after="0"/>
              <w:rPr>
                <w:sz w:val="20"/>
                <w:szCs w:val="20"/>
                <w:color w:val="auto"/>
              </w:rPr>
            </w:pPr>
          </w:p>
        </w:tc>
        <w:tc>
          <w:tcPr>
            <w:tcW w:w="860" w:type="dxa"/>
            <w:vAlign w:val="bottom"/>
            <w:tcBorders>
              <w:bottom w:val="single" w:sz="8" w:color="231F20"/>
            </w:tcBorders>
            <w:shd w:val="clear" w:color="auto" w:fill="E6E7E8"/>
          </w:tcPr>
          <w:p>
            <w:pPr>
              <w:spacing w:after="0"/>
              <w:rPr>
                <w:sz w:val="20"/>
                <w:szCs w:val="20"/>
                <w:color w:val="auto"/>
              </w:rPr>
            </w:pPr>
          </w:p>
        </w:tc>
        <w:tc>
          <w:tcPr>
            <w:tcW w:w="4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96"/>
              </w:rPr>
              <w:t>(730)</w:t>
            </w:r>
          </w:p>
        </w:tc>
        <w:tc>
          <w:tcPr>
            <w:tcW w:w="2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16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420" w:type="dxa"/>
            <w:vAlign w:val="bottom"/>
            <w:tcBorders>
              <w:bottom w:val="single" w:sz="8" w:color="231F20"/>
            </w:tcBorders>
            <w:shd w:val="clear" w:color="auto" w:fill="E6E7E8"/>
          </w:tcPr>
          <w:p>
            <w:pPr>
              <w:spacing w:after="0"/>
              <w:rPr>
                <w:sz w:val="20"/>
                <w:szCs w:val="20"/>
                <w:color w:val="auto"/>
              </w:rPr>
            </w:pPr>
          </w:p>
        </w:tc>
        <w:tc>
          <w:tcPr>
            <w:tcW w:w="8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80" w:type="dxa"/>
            <w:vAlign w:val="bottom"/>
            <w:shd w:val="clear" w:color="auto" w:fill="E6E7E8"/>
          </w:tcPr>
          <w:p>
            <w:pPr>
              <w:spacing w:after="0"/>
              <w:rPr>
                <w:sz w:val="20"/>
                <w:szCs w:val="20"/>
                <w:color w:val="auto"/>
              </w:rPr>
            </w:pPr>
          </w:p>
        </w:tc>
      </w:tr>
      <w:tr>
        <w:trPr>
          <w:trHeight w:val="239"/>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231F20"/>
              </w:rPr>
              <w:t>Total comprehensive income (loss)</w:t>
            </w:r>
          </w:p>
        </w:tc>
        <w:tc>
          <w:tcPr>
            <w:tcW w:w="1320" w:type="dxa"/>
            <w:vAlign w:val="bottom"/>
          </w:tcPr>
          <w:p>
            <w:pPr>
              <w:spacing w:after="0"/>
              <w:rPr>
                <w:sz w:val="20"/>
                <w:szCs w:val="20"/>
                <w:color w:val="auto"/>
              </w:rPr>
            </w:pPr>
          </w:p>
        </w:tc>
        <w:tc>
          <w:tcPr>
            <w:tcW w:w="860" w:type="dxa"/>
            <w:vAlign w:val="bottom"/>
            <w:tcBorders>
              <w:bottom w:val="single" w:sz="8" w:color="231F20"/>
            </w:tcBorders>
          </w:tcPr>
          <w:p>
            <w:pPr>
              <w:jc w:val="right"/>
              <w:ind w:right="660"/>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6"/>
              </w:rPr>
              <w:t>(121)</w:t>
            </w:r>
          </w:p>
        </w:tc>
        <w:tc>
          <w:tcPr>
            <w:tcW w:w="260" w:type="dxa"/>
            <w:vAlign w:val="bottom"/>
          </w:tcPr>
          <w:p>
            <w:pPr>
              <w:spacing w:after="0"/>
              <w:rPr>
                <w:sz w:val="20"/>
                <w:szCs w:val="20"/>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(7,227)</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-1174750</wp:posOffset>
            </wp:positionV>
            <wp:extent cx="284734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800"/>
          </w:cols>
          <w:pgMar w:left="540" w:top="746" w:right="54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SHAREHOLDERS’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Accumulated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8"/>
              </w:rPr>
              <w:t>Additional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Accumulated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Other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184"/>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Common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Paid-in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7"/>
              </w:rPr>
              <w:t>Retained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Treasury</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Comprehensive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Shareholders’</w:t>
            </w:r>
          </w:p>
        </w:tc>
      </w:tr>
      <w:tr>
        <w:trPr>
          <w:trHeight w:val="203"/>
        </w:trPr>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Stock</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Capital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9"/>
              </w:rPr>
              <w:t>Earnings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9"/>
              </w:rPr>
              <w:t>Stock</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Income (loss)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9"/>
              </w:rPr>
              <w:t>Equity</w:t>
            </w:r>
          </w:p>
        </w:tc>
      </w:tr>
      <w:tr>
        <w:trPr>
          <w:trHeight w:val="239"/>
        </w:trPr>
        <w:tc>
          <w:tcPr>
            <w:tcW w:w="3580" w:type="dxa"/>
            <w:vAlign w:val="bottom"/>
            <w:tcBorders>
              <w:top w:val="single" w:sz="8" w:color="E6E7E8"/>
            </w:tcBorders>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Balances, December 31, 2022</w:t>
            </w:r>
          </w:p>
        </w:tc>
        <w:tc>
          <w:tcPr>
            <w:tcW w:w="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00" w:type="dxa"/>
            <w:vAlign w:val="bottom"/>
            <w:tcBorders>
              <w:top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133</w:t>
            </w:r>
          </w:p>
        </w:tc>
        <w:tc>
          <w:tcPr>
            <w:tcW w:w="20" w:type="dxa"/>
            <w:vAlign w:val="bottom"/>
            <w:tcBorders>
              <w:top w:val="single" w:sz="8" w:color="231F20"/>
            </w:tcBorders>
            <w:shd w:val="clear" w:color="auto" w:fill="E6E7E8"/>
          </w:tcPr>
          <w:p>
            <w:pPr>
              <w:spacing w:after="0"/>
              <w:rPr>
                <w:sz w:val="20"/>
                <w:szCs w:val="20"/>
                <w:color w:val="auto"/>
              </w:rPr>
            </w:pPr>
          </w:p>
        </w:tc>
        <w:tc>
          <w:tcPr>
            <w:tcW w:w="10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860" w:type="dxa"/>
            <w:vAlign w:val="bottom"/>
            <w:tcBorders>
              <w:top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shd w:val="clear" w:color="auto" w:fill="E6E7E8"/>
              </w:rPr>
              <w:t>32,059</w:t>
            </w:r>
          </w:p>
        </w:tc>
        <w:tc>
          <w:tcPr>
            <w:tcW w:w="0" w:type="dxa"/>
            <w:vAlign w:val="bottom"/>
            <w:tcBorders>
              <w:top w:val="single" w:sz="8" w:color="231F20"/>
            </w:tcBorders>
            <w:shd w:val="clear" w:color="auto" w:fill="E6E7E8"/>
          </w:tcPr>
          <w:p>
            <w:pPr>
              <w:spacing w:after="0"/>
              <w:rPr>
                <w:sz w:val="20"/>
                <w:szCs w:val="20"/>
                <w:color w:val="auto"/>
              </w:rPr>
            </w:pPr>
          </w:p>
        </w:tc>
        <w:tc>
          <w:tcPr>
            <w:tcW w:w="20" w:type="dxa"/>
            <w:vAlign w:val="bottom"/>
            <w:tcBorders>
              <w:top w:val="single" w:sz="8" w:color="231F20"/>
            </w:tcBorders>
            <w:shd w:val="clear" w:color="auto" w:fill="E6E7E8"/>
          </w:tcPr>
          <w:p>
            <w:pPr>
              <w:spacing w:after="0"/>
              <w:rPr>
                <w:sz w:val="20"/>
                <w:szCs w:val="20"/>
                <w:color w:val="auto"/>
              </w:rPr>
            </w:pPr>
          </w:p>
        </w:tc>
        <w:tc>
          <w:tcPr>
            <w:tcW w:w="10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100" w:type="dxa"/>
            <w:vAlign w:val="bottom"/>
            <w:tcBorders>
              <w:top w:val="single" w:sz="8" w:color="231F20"/>
            </w:tcBorders>
            <w:shd w:val="clear" w:color="auto" w:fill="E6E7E8"/>
          </w:tcPr>
          <w:p>
            <w:pPr>
              <w:jc w:val="right"/>
              <w:ind w:right="17"/>
              <w:spacing w:after="0"/>
              <w:rPr>
                <w:sz w:val="20"/>
                <w:szCs w:val="20"/>
                <w:color w:val="auto"/>
              </w:rPr>
            </w:pPr>
            <w:r>
              <w:rPr>
                <w:rFonts w:ascii="Times New Roman" w:cs="Times New Roman" w:eastAsia="Times New Roman" w:hAnsi="Times New Roman"/>
                <w:sz w:val="5"/>
                <w:szCs w:val="5"/>
                <w:color w:val="231F20"/>
                <w:w w:val="78"/>
              </w:rPr>
              <w:t>$</w:t>
            </w:r>
          </w:p>
        </w:tc>
        <w:tc>
          <w:tcPr>
            <w:tcW w:w="1000" w:type="dxa"/>
            <w:vAlign w:val="bottom"/>
            <w:tcBorders>
              <w:top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59,553</w:t>
            </w:r>
          </w:p>
        </w:tc>
        <w:tc>
          <w:tcPr>
            <w:tcW w:w="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8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shd w:val="clear" w:color="auto" w:fill="E6E7E8"/>
              </w:rPr>
              <w:t>(4,187)</w:t>
            </w:r>
          </w:p>
        </w:tc>
        <w:tc>
          <w:tcPr>
            <w:tcW w:w="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(1,555)</w:t>
            </w:r>
          </w:p>
        </w:tc>
        <w:tc>
          <w:tcPr>
            <w:tcW w:w="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20" w:type="dxa"/>
            <w:vAlign w:val="bottom"/>
            <w:tcBorders>
              <w:top w:val="single" w:sz="8" w:color="E6E7E8"/>
            </w:tcBorders>
            <w:shd w:val="clear" w:color="auto" w:fill="E6E7E8"/>
          </w:tcPr>
          <w:p>
            <w:pPr>
              <w:spacing w:after="0"/>
              <w:rPr>
                <w:sz w:val="20"/>
                <w:szCs w:val="20"/>
                <w:color w:val="auto"/>
              </w:rPr>
            </w:pPr>
          </w:p>
        </w:tc>
        <w:tc>
          <w:tcPr>
            <w:tcW w:w="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80" w:type="dxa"/>
            <w:vAlign w:val="bottom"/>
            <w:tcBorders>
              <w:top w:val="single" w:sz="8" w:color="231F20"/>
            </w:tcBorders>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86,003</w:t>
            </w:r>
          </w:p>
        </w:tc>
        <w:tc>
          <w:tcPr>
            <w:tcW w:w="20" w:type="dxa"/>
            <w:vAlign w:val="bottom"/>
            <w:tcBorders>
              <w:top w:val="single" w:sz="8" w:color="231F20"/>
            </w:tcBorders>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Net income (loss)</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(7,138)</w:t>
            </w:r>
          </w:p>
        </w:tc>
        <w:tc>
          <w:tcPr>
            <w:tcW w:w="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(7,138)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Employee common stock purchases</w:t>
            </w:r>
          </w:p>
        </w:tc>
        <w:tc>
          <w:tcPr>
            <w:tcW w:w="0" w:type="dxa"/>
            <w:vAlign w:val="bottom"/>
            <w:shd w:val="clear" w:color="auto" w:fill="E6E7E8"/>
          </w:tcPr>
          <w:p>
            <w:pPr>
              <w:spacing w:after="0"/>
              <w:rPr>
                <w:sz w:val="21"/>
                <w:szCs w:val="21"/>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204</w:t>
            </w:r>
          </w:p>
        </w:tc>
        <w:tc>
          <w:tcPr>
            <w:tcW w:w="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8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11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118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204</w:t>
            </w: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Other comprehensive (loss), net of taxes</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0" w:type="dxa"/>
            <w:vAlign w:val="bottom"/>
            <w:shd w:val="clear" w:color="auto" w:fill="E6E7E8"/>
          </w:tcPr>
          <w:p>
            <w:pPr>
              <w:spacing w:after="0"/>
              <w:rPr>
                <w:sz w:val="21"/>
                <w:szCs w:val="21"/>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3,082</w:t>
            </w:r>
          </w:p>
        </w:tc>
        <w:tc>
          <w:tcPr>
            <w:tcW w:w="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8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11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118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3,082</w:t>
            </w: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Stock options exercised</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3580" w:type="dxa"/>
            <w:vAlign w:val="bottom"/>
            <w:tcBorders>
              <w:bottom w:val="single" w:sz="8" w:color="E6E7E8"/>
            </w:tcBorders>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Purchase of treasury stock</w:t>
            </w:r>
          </w:p>
        </w:tc>
        <w:tc>
          <w:tcPr>
            <w:tcW w:w="0" w:type="dxa"/>
            <w:vAlign w:val="bottom"/>
            <w:tcBorders>
              <w:bottom w:val="single" w:sz="8" w:color="E6E7E8"/>
            </w:tcBorders>
            <w:shd w:val="clear" w:color="auto" w:fill="E6E7E8"/>
          </w:tcPr>
          <w:p>
            <w:pPr>
              <w:spacing w:after="0"/>
              <w:rPr>
                <w:sz w:val="22"/>
                <w:szCs w:val="22"/>
                <w:color w:val="auto"/>
              </w:rPr>
            </w:pPr>
          </w:p>
        </w:tc>
        <w:tc>
          <w:tcPr>
            <w:tcW w:w="920" w:type="dxa"/>
            <w:vAlign w:val="bottom"/>
            <w:tcBorders>
              <w:bottom w:val="single" w:sz="8" w:color="E6E7E8"/>
            </w:tcBorders>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80" w:type="dxa"/>
            <w:vAlign w:val="bottom"/>
            <w:tcBorders>
              <w:bottom w:val="single" w:sz="8" w:color="E6E7E8"/>
            </w:tcBorders>
            <w:shd w:val="clear" w:color="auto" w:fill="E6E7E8"/>
          </w:tcPr>
          <w:p>
            <w:pPr>
              <w:spacing w:after="0"/>
              <w:rPr>
                <w:sz w:val="22"/>
                <w:szCs w:val="22"/>
                <w:color w:val="auto"/>
              </w:rPr>
            </w:pPr>
          </w:p>
        </w:tc>
        <w:tc>
          <w:tcPr>
            <w:tcW w:w="880" w:type="dxa"/>
            <w:vAlign w:val="bottom"/>
            <w:tcBorders>
              <w:bottom w:val="single" w:sz="8" w:color="E6E7E8"/>
            </w:tcBorders>
            <w:gridSpan w:val="3"/>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1000" w:type="dxa"/>
            <w:vAlign w:val="bottom"/>
            <w:tcBorders>
              <w:bottom w:val="single" w:sz="8" w:color="E6E7E8"/>
            </w:tcBorders>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40" w:type="dxa"/>
            <w:vAlign w:val="bottom"/>
            <w:tcBorders>
              <w:bottom w:val="single" w:sz="8" w:color="E6E7E8"/>
            </w:tcBorders>
            <w:shd w:val="clear" w:color="auto" w:fill="E6E7E8"/>
          </w:tcPr>
          <w:p>
            <w:pPr>
              <w:spacing w:after="0"/>
              <w:rPr>
                <w:sz w:val="22"/>
                <w:szCs w:val="22"/>
                <w:color w:val="auto"/>
              </w:rPr>
            </w:pPr>
          </w:p>
        </w:tc>
        <w:tc>
          <w:tcPr>
            <w:tcW w:w="880" w:type="dxa"/>
            <w:vAlign w:val="bottom"/>
            <w:tcBorders>
              <w:bottom w:val="single" w:sz="8" w:color="E6E7E8"/>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(618)</w:t>
            </w:r>
          </w:p>
        </w:tc>
        <w:tc>
          <w:tcPr>
            <w:tcW w:w="0" w:type="dxa"/>
            <w:vAlign w:val="bottom"/>
            <w:tcBorders>
              <w:bottom w:val="single" w:sz="8" w:color="E6E7E8"/>
            </w:tcBorders>
            <w:shd w:val="clear" w:color="auto" w:fill="E6E7E8"/>
          </w:tcPr>
          <w:p>
            <w:pPr>
              <w:spacing w:after="0"/>
              <w:rPr>
                <w:sz w:val="22"/>
                <w:szCs w:val="22"/>
                <w:color w:val="auto"/>
              </w:rPr>
            </w:pPr>
          </w:p>
        </w:tc>
        <w:tc>
          <w:tcPr>
            <w:tcW w:w="1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60" w:type="dxa"/>
            <w:vAlign w:val="bottom"/>
            <w:tcBorders>
              <w:bottom w:val="single" w:sz="8" w:color="E6E7E8"/>
            </w:tcBorders>
            <w:shd w:val="clear" w:color="auto" w:fill="E6E7E8"/>
          </w:tcPr>
          <w:p>
            <w:pPr>
              <w:spacing w:after="0"/>
              <w:rPr>
                <w:sz w:val="22"/>
                <w:szCs w:val="22"/>
                <w:color w:val="auto"/>
              </w:rPr>
            </w:pPr>
          </w:p>
        </w:tc>
        <w:tc>
          <w:tcPr>
            <w:tcW w:w="1180" w:type="dxa"/>
            <w:vAlign w:val="bottom"/>
            <w:tcBorders>
              <w:bottom w:val="single" w:sz="8" w:color="E6E7E8"/>
            </w:tcBorders>
            <w:shd w:val="clear" w:color="auto" w:fill="E6E7E8"/>
          </w:tcPr>
          <w:p>
            <w:pPr>
              <w:spacing w:after="0"/>
              <w:rPr>
                <w:sz w:val="22"/>
                <w:szCs w:val="22"/>
                <w:color w:val="auto"/>
              </w:rPr>
            </w:pPr>
          </w:p>
        </w:tc>
        <w:tc>
          <w:tcPr>
            <w:tcW w:w="0" w:type="dxa"/>
            <w:vAlign w:val="bottom"/>
            <w:tcBorders>
              <w:bottom w:val="single" w:sz="8" w:color="E6E7E8"/>
            </w:tcBorders>
            <w:shd w:val="clear" w:color="auto" w:fill="E6E7E8"/>
          </w:tcPr>
          <w:p>
            <w:pPr>
              <w:spacing w:after="0"/>
              <w:rPr>
                <w:sz w:val="22"/>
                <w:szCs w:val="22"/>
                <w:color w:val="auto"/>
              </w:rPr>
            </w:pPr>
          </w:p>
        </w:tc>
        <w:tc>
          <w:tcPr>
            <w:tcW w:w="1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231F20"/>
            </w:tcBorders>
            <w:shd w:val="clear" w:color="auto" w:fill="E6E7E8"/>
          </w:tcPr>
          <w:p>
            <w:pPr>
              <w:spacing w:after="0"/>
              <w:rPr>
                <w:sz w:val="22"/>
                <w:szCs w:val="22"/>
                <w:color w:val="auto"/>
              </w:rPr>
            </w:pPr>
          </w:p>
        </w:tc>
        <w:tc>
          <w:tcPr>
            <w:tcW w:w="40" w:type="dxa"/>
            <w:vAlign w:val="bottom"/>
            <w:tcBorders>
              <w:bottom w:val="single" w:sz="8" w:color="231F20"/>
            </w:tcBorders>
            <w:shd w:val="clear" w:color="auto" w:fill="E6E7E8"/>
          </w:tcPr>
          <w:p>
            <w:pPr>
              <w:spacing w:after="0"/>
              <w:rPr>
                <w:sz w:val="22"/>
                <w:szCs w:val="22"/>
                <w:color w:val="auto"/>
              </w:rPr>
            </w:pPr>
          </w:p>
        </w:tc>
        <w:tc>
          <w:tcPr>
            <w:tcW w:w="11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(618)</w:t>
            </w:r>
          </w:p>
        </w:tc>
        <w:tc>
          <w:tcPr>
            <w:tcW w:w="20" w:type="dxa"/>
            <w:vAlign w:val="bottom"/>
            <w:tcBorders>
              <w:bottom w:val="single" w:sz="8" w:color="231F20"/>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r>
      <w:tr>
        <w:trPr>
          <w:trHeight w:val="219"/>
        </w:trPr>
        <w:tc>
          <w:tcPr>
            <w:tcW w:w="3540" w:type="dxa"/>
            <w:vAlign w:val="bottom"/>
            <w:tcBorders>
              <w:bottom w:val="single" w:sz="8" w:color="E6E7E8"/>
            </w:tcBorders>
            <w:gridSpan w:val="5"/>
          </w:tcPr>
          <w:p>
            <w:pPr>
              <w:spacing w:after="0" w:line="219" w:lineRule="exact"/>
              <w:rPr>
                <w:sz w:val="20"/>
                <w:szCs w:val="20"/>
                <w:color w:val="auto"/>
              </w:rPr>
            </w:pPr>
            <w:r>
              <w:rPr>
                <w:rFonts w:ascii="Times New Roman" w:cs="Times New Roman" w:eastAsia="Times New Roman" w:hAnsi="Times New Roman"/>
                <w:sz w:val="20"/>
                <w:szCs w:val="20"/>
                <w:color w:val="231F20"/>
              </w:rPr>
              <w:t>Balances, December 31, 2023</w:t>
            </w:r>
          </w:p>
        </w:tc>
        <w:tc>
          <w:tcPr>
            <w:tcW w:w="20" w:type="dxa"/>
            <w:vAlign w:val="bottom"/>
            <w:tcBorders>
              <w:bottom w:val="single" w:sz="8" w:color="231F20"/>
            </w:tcBorders>
          </w:tcPr>
          <w:p>
            <w:pPr>
              <w:spacing w:after="0"/>
              <w:rPr>
                <w:sz w:val="19"/>
                <w:szCs w:val="19"/>
                <w:color w:val="auto"/>
              </w:rPr>
            </w:pPr>
          </w:p>
        </w:tc>
        <w:tc>
          <w:tcPr>
            <w:tcW w:w="20" w:type="dxa"/>
            <w:vAlign w:val="bottom"/>
            <w:tcBorders>
              <w:top w:val="single" w:sz="8" w:color="231F20"/>
              <w:bottom w:val="single" w:sz="8" w:color="231F20"/>
            </w:tcBorders>
          </w:tcPr>
          <w:p>
            <w:pPr>
              <w:spacing w:after="0"/>
              <w:rPr>
                <w:sz w:val="19"/>
                <w:szCs w:val="19"/>
                <w:color w:val="auto"/>
              </w:rPr>
            </w:pPr>
          </w:p>
        </w:tc>
        <w:tc>
          <w:tcPr>
            <w:tcW w:w="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00" w:type="dxa"/>
            <w:vAlign w:val="bottom"/>
            <w:tcBorders>
              <w:top w:val="single" w:sz="8" w:color="231F20"/>
              <w:bottom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133</w:t>
            </w:r>
          </w:p>
        </w:tc>
        <w:tc>
          <w:tcPr>
            <w:tcW w:w="20" w:type="dxa"/>
            <w:vAlign w:val="bottom"/>
            <w:tcBorders>
              <w:top w:val="single" w:sz="8" w:color="231F20"/>
              <w:bottom w:val="single" w:sz="8" w:color="231F20"/>
            </w:tcBorders>
          </w:tcPr>
          <w:p>
            <w:pPr>
              <w:spacing w:after="0"/>
              <w:rPr>
                <w:sz w:val="19"/>
                <w:szCs w:val="19"/>
                <w:color w:val="auto"/>
              </w:rPr>
            </w:pPr>
          </w:p>
        </w:tc>
        <w:tc>
          <w:tcPr>
            <w:tcW w:w="1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0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60" w:type="dxa"/>
            <w:vAlign w:val="bottom"/>
            <w:tcBorders>
              <w:top w:val="single" w:sz="8" w:color="231F20"/>
              <w:bottom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35,345</w:t>
            </w:r>
          </w:p>
        </w:tc>
        <w:tc>
          <w:tcPr>
            <w:tcW w:w="0" w:type="dxa"/>
            <w:vAlign w:val="bottom"/>
            <w:tcBorders>
              <w:top w:val="single" w:sz="8" w:color="231F20"/>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120" w:type="dxa"/>
            <w:vAlign w:val="bottom"/>
            <w:tcBorders>
              <w:top w:val="single" w:sz="8" w:color="231F20"/>
              <w:bottom w:val="single" w:sz="8" w:color="231F20"/>
            </w:tcBorders>
            <w:gridSpan w:val="2"/>
          </w:tcPr>
          <w:p>
            <w:pPr>
              <w:jc w:val="right"/>
              <w:ind w:right="17"/>
              <w:spacing w:after="0"/>
              <w:rPr>
                <w:sz w:val="20"/>
                <w:szCs w:val="20"/>
                <w:color w:val="auto"/>
              </w:rPr>
            </w:pPr>
            <w:r>
              <w:rPr>
                <w:rFonts w:ascii="Times New Roman" w:cs="Times New Roman" w:eastAsia="Times New Roman" w:hAnsi="Times New Roman"/>
                <w:sz w:val="11"/>
                <w:szCs w:val="11"/>
                <w:color w:val="231F20"/>
                <w:w w:val="71"/>
              </w:rPr>
              <w:t>$</w:t>
            </w:r>
          </w:p>
        </w:tc>
        <w:tc>
          <w:tcPr>
            <w:tcW w:w="1000" w:type="dxa"/>
            <w:vAlign w:val="bottom"/>
            <w:tcBorders>
              <w:top w:val="single" w:sz="8" w:color="231F20"/>
              <w:bottom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52,415</w:t>
            </w:r>
          </w:p>
        </w:tc>
        <w:tc>
          <w:tcPr>
            <w:tcW w:w="0" w:type="dxa"/>
            <w:vAlign w:val="bottom"/>
            <w:tcBorders>
              <w:top w:val="single" w:sz="8" w:color="231F20"/>
              <w:bottom w:val="single" w:sz="8" w:color="231F20"/>
            </w:tcBorders>
          </w:tcPr>
          <w:p>
            <w:pPr>
              <w:spacing w:after="0"/>
              <w:rPr>
                <w:sz w:val="19"/>
                <w:szCs w:val="19"/>
                <w:color w:val="auto"/>
              </w:rPr>
            </w:pPr>
          </w:p>
        </w:tc>
        <w:tc>
          <w:tcPr>
            <w:tcW w:w="1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8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(4,805)</w:t>
            </w:r>
          </w:p>
        </w:tc>
        <w:tc>
          <w:tcPr>
            <w:tcW w:w="0" w:type="dxa"/>
            <w:vAlign w:val="bottom"/>
            <w:tcBorders>
              <w:top w:val="single" w:sz="8" w:color="231F20"/>
              <w:bottom w:val="single" w:sz="8" w:color="231F20"/>
            </w:tcBorders>
          </w:tcPr>
          <w:p>
            <w:pPr>
              <w:spacing w:after="0"/>
              <w:rPr>
                <w:sz w:val="19"/>
                <w:szCs w:val="19"/>
                <w:color w:val="auto"/>
              </w:rPr>
            </w:pPr>
          </w:p>
        </w:tc>
        <w:tc>
          <w:tcPr>
            <w:tcW w:w="1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8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1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(1,644)</w:t>
            </w:r>
          </w:p>
        </w:tc>
        <w:tc>
          <w:tcPr>
            <w:tcW w:w="0" w:type="dxa"/>
            <w:vAlign w:val="bottom"/>
            <w:tcBorders>
              <w:top w:val="single" w:sz="8" w:color="231F20"/>
              <w:bottom w:val="single" w:sz="8" w:color="231F20"/>
            </w:tcBorders>
          </w:tcPr>
          <w:p>
            <w:pPr>
              <w:spacing w:after="0"/>
              <w:rPr>
                <w:sz w:val="19"/>
                <w:szCs w:val="19"/>
                <w:color w:val="auto"/>
              </w:rPr>
            </w:pPr>
          </w:p>
        </w:tc>
        <w:tc>
          <w:tcPr>
            <w:tcW w:w="120" w:type="dxa"/>
            <w:vAlign w:val="bottom"/>
            <w:tcBorders>
              <w:bottom w:val="single" w:sz="8" w:color="E6E7E8"/>
            </w:tcBorders>
          </w:tcPr>
          <w:p>
            <w:pPr>
              <w:spacing w:after="0"/>
              <w:rPr>
                <w:sz w:val="19"/>
                <w:szCs w:val="19"/>
                <w:color w:val="auto"/>
              </w:rPr>
            </w:pPr>
          </w:p>
        </w:tc>
        <w:tc>
          <w:tcPr>
            <w:tcW w:w="20" w:type="dxa"/>
            <w:vAlign w:val="bottom"/>
            <w:tcBorders>
              <w:bottom w:val="single" w:sz="8" w:color="E6E7E8"/>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6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180" w:type="dxa"/>
            <w:vAlign w:val="bottom"/>
            <w:tcBorders>
              <w:top w:val="single" w:sz="8" w:color="231F20"/>
              <w:bottom w:val="single" w:sz="8" w:color="231F20"/>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231F20"/>
              </w:rPr>
              <w:t>81,444</w:t>
            </w:r>
          </w:p>
        </w:tc>
        <w:tc>
          <w:tcPr>
            <w:tcW w:w="20" w:type="dxa"/>
            <w:vAlign w:val="bottom"/>
            <w:tcBorders>
              <w:top w:val="single" w:sz="8" w:color="231F20"/>
              <w:bottom w:val="single" w:sz="8" w:color="231F20"/>
            </w:tcBorders>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3540" w:type="dxa"/>
            <w:vAlign w:val="bottom"/>
            <w:gridSpan w:val="5"/>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40" w:type="dxa"/>
            <w:vAlign w:val="bottom"/>
            <w:gridSpan w:val="2"/>
            <w:shd w:val="clear" w:color="auto" w:fill="E6E7E8"/>
          </w:tcPr>
          <w:p>
            <w:pPr>
              <w:spacing w:after="0"/>
              <w:rPr>
                <w:sz w:val="20"/>
                <w:szCs w:val="20"/>
                <w:color w:val="auto"/>
              </w:rPr>
            </w:pPr>
          </w:p>
        </w:tc>
        <w:tc>
          <w:tcPr>
            <w:tcW w:w="0" w:type="dxa"/>
            <w:vAlign w:val="bottom"/>
            <w:shd w:val="clear" w:color="auto" w:fill="E6E7E8"/>
          </w:tcPr>
          <w:p>
            <w:pPr>
              <w:spacing w:after="0"/>
              <w:rPr>
                <w:sz w:val="20"/>
                <w:szCs w:val="20"/>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880" w:type="dxa"/>
            <w:vAlign w:val="bottom"/>
            <w:gridSpan w:val="3"/>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100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3,402</w:t>
            </w:r>
          </w:p>
        </w:tc>
        <w:tc>
          <w:tcPr>
            <w:tcW w:w="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40" w:type="dxa"/>
            <w:vAlign w:val="bottom"/>
            <w:shd w:val="clear" w:color="auto" w:fill="E6E7E8"/>
          </w:tcPr>
          <w:p>
            <w:pPr>
              <w:spacing w:after="0"/>
              <w:rPr>
                <w:sz w:val="20"/>
                <w:szCs w:val="20"/>
                <w:color w:val="auto"/>
              </w:rPr>
            </w:pPr>
          </w:p>
        </w:tc>
        <w:tc>
          <w:tcPr>
            <w:tcW w:w="8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c>
          <w:tcPr>
            <w:tcW w:w="11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40" w:type="dxa"/>
            <w:vAlign w:val="bottom"/>
            <w:shd w:val="clear" w:color="auto" w:fill="E6E7E8"/>
          </w:tcPr>
          <w:p>
            <w:pPr>
              <w:spacing w:after="0"/>
              <w:rPr>
                <w:sz w:val="20"/>
                <w:szCs w:val="20"/>
                <w:color w:val="auto"/>
              </w:rPr>
            </w:pPr>
          </w:p>
        </w:tc>
        <w:tc>
          <w:tcPr>
            <w:tcW w:w="118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3,402</w:t>
            </w:r>
          </w:p>
        </w:tc>
        <w:tc>
          <w:tcPr>
            <w:tcW w:w="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Employee common stock purchases</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223</w:t>
            </w:r>
          </w:p>
        </w:tc>
        <w:tc>
          <w:tcPr>
            <w:tcW w:w="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Other comprehensive (loss), net of taxes</w:t>
            </w:r>
          </w:p>
        </w:tc>
        <w:tc>
          <w:tcPr>
            <w:tcW w:w="0" w:type="dxa"/>
            <w:vAlign w:val="bottom"/>
            <w:shd w:val="clear" w:color="auto" w:fill="E6E7E8"/>
          </w:tcPr>
          <w:p>
            <w:pPr>
              <w:spacing w:after="0"/>
              <w:rPr>
                <w:sz w:val="21"/>
                <w:szCs w:val="21"/>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880" w:type="dxa"/>
            <w:vAlign w:val="bottom"/>
            <w:gridSpan w:val="3"/>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8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1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1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2,200</w:t>
            </w:r>
          </w:p>
        </w:tc>
        <w:tc>
          <w:tcPr>
            <w:tcW w:w="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2,200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Stock options exercised</w:t>
            </w:r>
          </w:p>
        </w:tc>
        <w:tc>
          <w:tcPr>
            <w:tcW w:w="0" w:type="dxa"/>
            <w:vAlign w:val="bottom"/>
            <w:shd w:val="clear" w:color="auto" w:fill="E6E7E8"/>
          </w:tcPr>
          <w:p>
            <w:pPr>
              <w:spacing w:after="0"/>
              <w:rPr>
                <w:sz w:val="21"/>
                <w:szCs w:val="21"/>
                <w:color w:val="auto"/>
              </w:rPr>
            </w:pPr>
          </w:p>
        </w:tc>
        <w:tc>
          <w:tcPr>
            <w:tcW w:w="90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509</w:t>
            </w:r>
          </w:p>
        </w:tc>
        <w:tc>
          <w:tcPr>
            <w:tcW w:w="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00" w:type="dxa"/>
            <w:vAlign w:val="bottom"/>
            <w:shd w:val="clear" w:color="auto" w:fill="E6E7E8"/>
          </w:tcPr>
          <w:p>
            <w:pPr>
              <w:spacing w:after="0"/>
              <w:rPr>
                <w:sz w:val="21"/>
                <w:szCs w:val="21"/>
                <w:color w:val="auto"/>
              </w:rPr>
            </w:pPr>
          </w:p>
        </w:tc>
        <w:tc>
          <w:tcPr>
            <w:tcW w:w="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880" w:type="dxa"/>
            <w:vAlign w:val="bottom"/>
            <w:shd w:val="clear" w:color="auto" w:fill="E6E7E8"/>
          </w:tcPr>
          <w:p>
            <w:pPr>
              <w:spacing w:after="0"/>
              <w:rPr>
                <w:sz w:val="21"/>
                <w:szCs w:val="21"/>
                <w:color w:val="auto"/>
              </w:rPr>
            </w:pPr>
          </w:p>
        </w:tc>
        <w:tc>
          <w:tcPr>
            <w:tcW w:w="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1180" w:type="dxa"/>
            <w:vAlign w:val="bottom"/>
            <w:shd w:val="clear" w:color="auto" w:fill="E6E7E8"/>
          </w:tcPr>
          <w:p>
            <w:pPr>
              <w:spacing w:after="0"/>
              <w:rPr>
                <w:sz w:val="21"/>
                <w:szCs w:val="21"/>
                <w:color w:val="auto"/>
              </w:rPr>
            </w:pPr>
          </w:p>
        </w:tc>
        <w:tc>
          <w:tcPr>
            <w:tcW w:w="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118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511</w:t>
            </w: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Purchase of treasury stock</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9"/>
        </w:trPr>
        <w:tc>
          <w:tcPr>
            <w:tcW w:w="3480" w:type="dxa"/>
            <w:vAlign w:val="bottom"/>
            <w:tcBorders>
              <w:top w:val="single" w:sz="8" w:color="E6E7E8"/>
              <w:bottom w:val="single" w:sz="8" w:color="E6E7E8"/>
            </w:tcBorders>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Balances, December 31, 2024</w:t>
            </w:r>
          </w:p>
        </w:tc>
        <w:tc>
          <w:tcPr>
            <w:tcW w:w="40" w:type="dxa"/>
            <w:vAlign w:val="bottom"/>
            <w:tcBorders>
              <w:top w:val="single" w:sz="8" w:color="E6E7E8"/>
              <w:bottom w:val="single" w:sz="8" w:color="231F20"/>
            </w:tcBorders>
            <w:gridSpan w:val="2"/>
            <w:shd w:val="clear" w:color="auto" w:fill="E6E7E8"/>
          </w:tcPr>
          <w:p>
            <w:pPr>
              <w:spacing w:after="0"/>
              <w:rPr>
                <w:sz w:val="22"/>
                <w:szCs w:val="22"/>
                <w:color w:val="auto"/>
              </w:rPr>
            </w:pPr>
          </w:p>
        </w:tc>
        <w:tc>
          <w:tcPr>
            <w:tcW w:w="60" w:type="dxa"/>
            <w:vAlign w:val="bottom"/>
            <w:tcBorders>
              <w:top w:val="single" w:sz="8" w:color="231F20"/>
              <w:bottom w:val="single" w:sz="8" w:color="231F20"/>
            </w:tcBorders>
            <w:gridSpan w:val="3"/>
            <w:shd w:val="clear" w:color="auto" w:fill="E6E7E8"/>
          </w:tcPr>
          <w:p>
            <w:pPr>
              <w:spacing w:after="0"/>
              <w:rPr>
                <w:sz w:val="22"/>
                <w:szCs w:val="22"/>
                <w:color w:val="auto"/>
              </w:rPr>
            </w:pPr>
          </w:p>
        </w:tc>
        <w:tc>
          <w:tcPr>
            <w:tcW w:w="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00" w:type="dxa"/>
            <w:vAlign w:val="bottom"/>
            <w:tcBorders>
              <w:top w:val="single" w:sz="8" w:color="231F20"/>
              <w:bottom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135</w:t>
            </w:r>
          </w:p>
        </w:tc>
        <w:tc>
          <w:tcPr>
            <w:tcW w:w="20" w:type="dxa"/>
            <w:vAlign w:val="bottom"/>
            <w:tcBorders>
              <w:top w:val="single" w:sz="8" w:color="231F20"/>
              <w:bottom w:val="single" w:sz="8" w:color="E6E7E8"/>
            </w:tcBorders>
            <w:shd w:val="clear" w:color="auto" w:fill="E6E7E8"/>
          </w:tcPr>
          <w:p>
            <w:pPr>
              <w:spacing w:after="0"/>
              <w:rPr>
                <w:sz w:val="22"/>
                <w:szCs w:val="22"/>
                <w:color w:val="auto"/>
              </w:rPr>
            </w:pPr>
          </w:p>
        </w:tc>
        <w:tc>
          <w:tcPr>
            <w:tcW w:w="100" w:type="dxa"/>
            <w:vAlign w:val="bottom"/>
            <w:tcBorders>
              <w:top w:val="single" w:sz="8" w:color="E6E7E8"/>
              <w:bottom w:val="single" w:sz="8" w:color="E6E7E8"/>
            </w:tcBorders>
            <w:shd w:val="clear" w:color="auto" w:fill="E6E7E8"/>
          </w:tcPr>
          <w:p>
            <w:pPr>
              <w:spacing w:after="0"/>
              <w:rPr>
                <w:sz w:val="22"/>
                <w:szCs w:val="22"/>
                <w:color w:val="auto"/>
              </w:rPr>
            </w:pPr>
          </w:p>
        </w:tc>
        <w:tc>
          <w:tcPr>
            <w:tcW w:w="20" w:type="dxa"/>
            <w:vAlign w:val="bottom"/>
            <w:tcBorders>
              <w:top w:val="single" w:sz="8" w:color="E6E7E8"/>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8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860" w:type="dxa"/>
            <w:vAlign w:val="bottom"/>
            <w:tcBorders>
              <w:top w:val="single" w:sz="8" w:color="231F20"/>
              <w:bottom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shd w:val="clear" w:color="auto" w:fill="E6E7E8"/>
              </w:rPr>
              <w:t>38,277</w:t>
            </w:r>
          </w:p>
        </w:tc>
        <w:tc>
          <w:tcPr>
            <w:tcW w:w="0" w:type="dxa"/>
            <w:vAlign w:val="bottom"/>
            <w:tcBorders>
              <w:top w:val="single" w:sz="8" w:color="231F20"/>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top w:val="single" w:sz="8" w:color="E6E7E8"/>
              <w:bottom w:val="single" w:sz="8" w:color="E6E7E8"/>
            </w:tcBorders>
            <w:shd w:val="clear" w:color="auto" w:fill="E6E7E8"/>
          </w:tcPr>
          <w:p>
            <w:pPr>
              <w:spacing w:after="0"/>
              <w:rPr>
                <w:sz w:val="22"/>
                <w:szCs w:val="22"/>
                <w:color w:val="auto"/>
              </w:rPr>
            </w:pPr>
          </w:p>
        </w:tc>
        <w:tc>
          <w:tcPr>
            <w:tcW w:w="20" w:type="dxa"/>
            <w:vAlign w:val="bottom"/>
            <w:tcBorders>
              <w:top w:val="single" w:sz="8" w:color="E6E7E8"/>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100" w:type="dxa"/>
            <w:vAlign w:val="bottom"/>
            <w:tcBorders>
              <w:top w:val="single" w:sz="8" w:color="231F20"/>
              <w:bottom w:val="single" w:sz="8" w:color="231F20"/>
            </w:tcBorders>
            <w:shd w:val="clear" w:color="auto" w:fill="E6E7E8"/>
          </w:tcPr>
          <w:p>
            <w:pPr>
              <w:jc w:val="right"/>
              <w:ind w:right="17"/>
              <w:spacing w:after="0"/>
              <w:rPr>
                <w:sz w:val="20"/>
                <w:szCs w:val="20"/>
                <w:color w:val="auto"/>
              </w:rPr>
            </w:pPr>
            <w:r>
              <w:rPr>
                <w:rFonts w:ascii="Times New Roman" w:cs="Times New Roman" w:eastAsia="Times New Roman" w:hAnsi="Times New Roman"/>
                <w:sz w:val="5"/>
                <w:szCs w:val="5"/>
                <w:color w:val="231F20"/>
                <w:w w:val="78"/>
              </w:rPr>
              <w:t>$</w:t>
            </w:r>
          </w:p>
        </w:tc>
        <w:tc>
          <w:tcPr>
            <w:tcW w:w="1000" w:type="dxa"/>
            <w:vAlign w:val="bottom"/>
            <w:tcBorders>
              <w:top w:val="single" w:sz="8" w:color="231F20"/>
              <w:bottom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55,817</w:t>
            </w:r>
          </w:p>
        </w:tc>
        <w:tc>
          <w:tcPr>
            <w:tcW w:w="0" w:type="dxa"/>
            <w:vAlign w:val="bottom"/>
            <w:tcBorders>
              <w:top w:val="single" w:sz="8" w:color="231F20"/>
              <w:bottom w:val="single" w:sz="8" w:color="E6E7E8"/>
            </w:tcBorders>
            <w:shd w:val="clear" w:color="auto" w:fill="E6E7E8"/>
          </w:tcPr>
          <w:p>
            <w:pPr>
              <w:spacing w:after="0"/>
              <w:rPr>
                <w:sz w:val="22"/>
                <w:szCs w:val="22"/>
                <w:color w:val="auto"/>
              </w:rPr>
            </w:pPr>
          </w:p>
        </w:tc>
        <w:tc>
          <w:tcPr>
            <w:tcW w:w="120" w:type="dxa"/>
            <w:vAlign w:val="bottom"/>
            <w:tcBorders>
              <w:top w:val="single" w:sz="8" w:color="E6E7E8"/>
              <w:bottom w:val="single" w:sz="8" w:color="E6E7E8"/>
            </w:tcBorders>
            <w:shd w:val="clear" w:color="auto" w:fill="E6E7E8"/>
          </w:tcPr>
          <w:p>
            <w:pPr>
              <w:spacing w:after="0"/>
              <w:rPr>
                <w:sz w:val="22"/>
                <w:szCs w:val="22"/>
                <w:color w:val="auto"/>
              </w:rPr>
            </w:pPr>
          </w:p>
        </w:tc>
        <w:tc>
          <w:tcPr>
            <w:tcW w:w="20" w:type="dxa"/>
            <w:vAlign w:val="bottom"/>
            <w:tcBorders>
              <w:top w:val="single" w:sz="8" w:color="E6E7E8"/>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4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88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shd w:val="clear" w:color="auto" w:fill="E6E7E8"/>
              </w:rPr>
              <w:t>(4,885)</w:t>
            </w:r>
          </w:p>
        </w:tc>
        <w:tc>
          <w:tcPr>
            <w:tcW w:w="0" w:type="dxa"/>
            <w:vAlign w:val="bottom"/>
            <w:tcBorders>
              <w:top w:val="single" w:sz="8" w:color="231F20"/>
              <w:bottom w:val="single" w:sz="8" w:color="E6E7E8"/>
            </w:tcBorders>
            <w:shd w:val="clear" w:color="auto" w:fill="E6E7E8"/>
          </w:tcPr>
          <w:p>
            <w:pPr>
              <w:spacing w:after="0"/>
              <w:rPr>
                <w:sz w:val="22"/>
                <w:szCs w:val="22"/>
                <w:color w:val="auto"/>
              </w:rPr>
            </w:pPr>
          </w:p>
        </w:tc>
        <w:tc>
          <w:tcPr>
            <w:tcW w:w="120" w:type="dxa"/>
            <w:vAlign w:val="bottom"/>
            <w:tcBorders>
              <w:top w:val="single" w:sz="8" w:color="E6E7E8"/>
              <w:bottom w:val="single" w:sz="8" w:color="E6E7E8"/>
            </w:tcBorders>
            <w:shd w:val="clear" w:color="auto" w:fill="E6E7E8"/>
          </w:tcPr>
          <w:p>
            <w:pPr>
              <w:spacing w:after="0"/>
              <w:rPr>
                <w:sz w:val="22"/>
                <w:szCs w:val="22"/>
                <w:color w:val="auto"/>
              </w:rPr>
            </w:pPr>
          </w:p>
        </w:tc>
        <w:tc>
          <w:tcPr>
            <w:tcW w:w="20" w:type="dxa"/>
            <w:vAlign w:val="bottom"/>
            <w:tcBorders>
              <w:top w:val="single" w:sz="8" w:color="E6E7E8"/>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6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8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(1,910)</w:t>
            </w:r>
          </w:p>
        </w:tc>
        <w:tc>
          <w:tcPr>
            <w:tcW w:w="0" w:type="dxa"/>
            <w:vAlign w:val="bottom"/>
            <w:tcBorders>
              <w:top w:val="single" w:sz="8" w:color="231F20"/>
              <w:bottom w:val="single" w:sz="8" w:color="E6E7E8"/>
            </w:tcBorders>
            <w:shd w:val="clear" w:color="auto" w:fill="E6E7E8"/>
          </w:tcPr>
          <w:p>
            <w:pPr>
              <w:spacing w:after="0"/>
              <w:rPr>
                <w:sz w:val="22"/>
                <w:szCs w:val="22"/>
                <w:color w:val="auto"/>
              </w:rPr>
            </w:pPr>
          </w:p>
        </w:tc>
        <w:tc>
          <w:tcPr>
            <w:tcW w:w="120" w:type="dxa"/>
            <w:vAlign w:val="bottom"/>
            <w:tcBorders>
              <w:top w:val="single" w:sz="8" w:color="E6E7E8"/>
              <w:bottom w:val="single" w:sz="8" w:color="E6E7E8"/>
            </w:tcBorders>
            <w:shd w:val="clear" w:color="auto" w:fill="E6E7E8"/>
          </w:tcPr>
          <w:p>
            <w:pPr>
              <w:spacing w:after="0"/>
              <w:rPr>
                <w:sz w:val="22"/>
                <w:szCs w:val="22"/>
                <w:color w:val="auto"/>
              </w:rPr>
            </w:pPr>
          </w:p>
        </w:tc>
        <w:tc>
          <w:tcPr>
            <w:tcW w:w="20" w:type="dxa"/>
            <w:vAlign w:val="bottom"/>
            <w:tcBorders>
              <w:top w:val="single" w:sz="8" w:color="E6E7E8"/>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4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80" w:type="dxa"/>
            <w:vAlign w:val="bottom"/>
            <w:tcBorders>
              <w:top w:val="single" w:sz="8" w:color="231F20"/>
              <w:bottom w:val="single" w:sz="8" w:color="231F20"/>
            </w:tcBorders>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87,434</w:t>
            </w:r>
          </w:p>
        </w:tc>
        <w:tc>
          <w:tcPr>
            <w:tcW w:w="20" w:type="dxa"/>
            <w:vAlign w:val="bottom"/>
            <w:tcBorders>
              <w:top w:val="single" w:sz="8" w:color="231F20"/>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4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231F20"/>
              </w:rPr>
              <w:t>Net income</w:t>
            </w:r>
          </w:p>
        </w:tc>
        <w:tc>
          <w:tcPr>
            <w:tcW w:w="100" w:type="dxa"/>
            <w:vAlign w:val="bottom"/>
            <w:tcBorders>
              <w:top w:val="single" w:sz="8" w:color="231F20"/>
            </w:tcBorders>
            <w:gridSpan w:val="5"/>
          </w:tcPr>
          <w:p>
            <w:pPr>
              <w:spacing w:after="0"/>
              <w:rPr>
                <w:sz w:val="18"/>
                <w:szCs w:val="18"/>
                <w:color w:val="auto"/>
              </w:rPr>
            </w:pPr>
          </w:p>
        </w:tc>
        <w:tc>
          <w:tcPr>
            <w:tcW w:w="0" w:type="dxa"/>
            <w:vAlign w:val="bottom"/>
            <w:tcBorders>
              <w:top w:val="single" w:sz="8" w:color="231F20"/>
            </w:tcBorders>
          </w:tcPr>
          <w:p>
            <w:pPr>
              <w:spacing w:after="0"/>
              <w:rPr>
                <w:sz w:val="18"/>
                <w:szCs w:val="18"/>
                <w:color w:val="auto"/>
              </w:rPr>
            </w:pPr>
          </w:p>
        </w:tc>
        <w:tc>
          <w:tcPr>
            <w:tcW w:w="900" w:type="dxa"/>
            <w:vAlign w:val="bottom"/>
            <w:tcBorders>
              <w:top w:val="single" w:sz="8" w:color="231F20"/>
            </w:tcBorders>
          </w:tcPr>
          <w:p>
            <w:pPr>
              <w:jc w:val="right"/>
              <w:ind w:right="22"/>
              <w:spacing w:after="0" w:line="209"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80" w:type="dxa"/>
            <w:vAlign w:val="bottom"/>
            <w:tcBorders>
              <w:top w:val="single" w:sz="8" w:color="231F20"/>
            </w:tcBorders>
          </w:tcPr>
          <w:p>
            <w:pPr>
              <w:spacing w:after="0"/>
              <w:rPr>
                <w:sz w:val="18"/>
                <w:szCs w:val="18"/>
                <w:color w:val="auto"/>
              </w:rPr>
            </w:pPr>
          </w:p>
        </w:tc>
        <w:tc>
          <w:tcPr>
            <w:tcW w:w="860" w:type="dxa"/>
            <w:vAlign w:val="bottom"/>
            <w:tcBorders>
              <w:top w:val="single" w:sz="8" w:color="231F20"/>
            </w:tcBorders>
          </w:tcPr>
          <w:p>
            <w:pPr>
              <w:jc w:val="right"/>
              <w:ind w:right="22"/>
              <w:spacing w:after="0" w:line="209" w:lineRule="exact"/>
              <w:rPr>
                <w:sz w:val="20"/>
                <w:szCs w:val="20"/>
                <w:color w:val="auto"/>
              </w:rPr>
            </w:pPr>
            <w:r>
              <w:rPr>
                <w:rFonts w:ascii="Times New Roman" w:cs="Times New Roman" w:eastAsia="Times New Roman" w:hAnsi="Times New Roman"/>
                <w:sz w:val="20"/>
                <w:szCs w:val="20"/>
                <w:color w:val="231F20"/>
              </w:rPr>
              <w:t>—</w:t>
            </w:r>
          </w:p>
        </w:tc>
        <w:tc>
          <w:tcPr>
            <w:tcW w:w="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100" w:type="dxa"/>
            <w:vAlign w:val="bottom"/>
            <w:tcBorders>
              <w:top w:val="single" w:sz="8" w:color="231F20"/>
            </w:tcBorders>
          </w:tcPr>
          <w:p>
            <w:pPr>
              <w:spacing w:after="0"/>
              <w:rPr>
                <w:sz w:val="18"/>
                <w:szCs w:val="18"/>
                <w:color w:val="auto"/>
              </w:rPr>
            </w:pPr>
          </w:p>
        </w:tc>
        <w:tc>
          <w:tcPr>
            <w:tcW w:w="1000" w:type="dxa"/>
            <w:vAlign w:val="bottom"/>
            <w:tcBorders>
              <w:top w:val="single" w:sz="8" w:color="231F20"/>
            </w:tcBorders>
          </w:tcPr>
          <w:p>
            <w:pPr>
              <w:jc w:val="right"/>
              <w:ind w:right="22"/>
              <w:spacing w:after="0" w:line="209" w:lineRule="exact"/>
              <w:rPr>
                <w:sz w:val="20"/>
                <w:szCs w:val="20"/>
                <w:color w:val="auto"/>
              </w:rPr>
            </w:pPr>
            <w:r>
              <w:rPr>
                <w:rFonts w:ascii="Times New Roman" w:cs="Times New Roman" w:eastAsia="Times New Roman" w:hAnsi="Times New Roman"/>
                <w:sz w:val="20"/>
                <w:szCs w:val="20"/>
                <w:color w:val="231F20"/>
              </w:rPr>
              <w:t>609</w:t>
            </w:r>
          </w:p>
        </w:tc>
        <w:tc>
          <w:tcPr>
            <w:tcW w:w="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40" w:type="dxa"/>
            <w:vAlign w:val="bottom"/>
            <w:tcBorders>
              <w:top w:val="single" w:sz="8" w:color="231F20"/>
            </w:tcBorders>
          </w:tcPr>
          <w:p>
            <w:pPr>
              <w:spacing w:after="0"/>
              <w:rPr>
                <w:sz w:val="18"/>
                <w:szCs w:val="18"/>
                <w:color w:val="auto"/>
              </w:rPr>
            </w:pPr>
          </w:p>
        </w:tc>
        <w:tc>
          <w:tcPr>
            <w:tcW w:w="880" w:type="dxa"/>
            <w:vAlign w:val="bottom"/>
            <w:tcBorders>
              <w:top w:val="single" w:sz="8" w:color="231F20"/>
            </w:tcBorders>
          </w:tcPr>
          <w:p>
            <w:pPr>
              <w:jc w:val="right"/>
              <w:ind w:right="22"/>
              <w:spacing w:after="0" w:line="209"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60" w:type="dxa"/>
            <w:vAlign w:val="bottom"/>
            <w:tcBorders>
              <w:top w:val="single" w:sz="8" w:color="231F20"/>
            </w:tcBorders>
          </w:tcPr>
          <w:p>
            <w:pPr>
              <w:spacing w:after="0"/>
              <w:rPr>
                <w:sz w:val="18"/>
                <w:szCs w:val="18"/>
                <w:color w:val="auto"/>
              </w:rPr>
            </w:pPr>
          </w:p>
        </w:tc>
        <w:tc>
          <w:tcPr>
            <w:tcW w:w="1180" w:type="dxa"/>
            <w:vAlign w:val="bottom"/>
            <w:tcBorders>
              <w:top w:val="single" w:sz="8" w:color="231F20"/>
            </w:tcBorders>
          </w:tcPr>
          <w:p>
            <w:pPr>
              <w:jc w:val="right"/>
              <w:ind w:right="23"/>
              <w:spacing w:after="0" w:line="209" w:lineRule="exact"/>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20" w:type="dxa"/>
            <w:vAlign w:val="bottom"/>
            <w:tcBorders>
              <w:top w:val="single" w:sz="8" w:color="231F20"/>
            </w:tcBorders>
          </w:tcPr>
          <w:p>
            <w:pPr>
              <w:spacing w:after="0"/>
              <w:rPr>
                <w:sz w:val="18"/>
                <w:szCs w:val="18"/>
                <w:color w:val="auto"/>
              </w:rPr>
            </w:pPr>
          </w:p>
        </w:tc>
        <w:tc>
          <w:tcPr>
            <w:tcW w:w="40" w:type="dxa"/>
            <w:vAlign w:val="bottom"/>
            <w:tcBorders>
              <w:top w:val="single" w:sz="8" w:color="231F20"/>
            </w:tcBorders>
          </w:tcPr>
          <w:p>
            <w:pPr>
              <w:spacing w:after="0"/>
              <w:rPr>
                <w:sz w:val="18"/>
                <w:szCs w:val="18"/>
                <w:color w:val="auto"/>
              </w:rPr>
            </w:pPr>
          </w:p>
        </w:tc>
        <w:tc>
          <w:tcPr>
            <w:tcW w:w="1180" w:type="dxa"/>
            <w:vAlign w:val="bottom"/>
            <w:tcBorders>
              <w:top w:val="single" w:sz="8" w:color="231F20"/>
            </w:tcBorders>
          </w:tcPr>
          <w:p>
            <w:pPr>
              <w:jc w:val="right"/>
              <w:ind w:right="2"/>
              <w:spacing w:after="0" w:line="209" w:lineRule="exact"/>
              <w:rPr>
                <w:sz w:val="20"/>
                <w:szCs w:val="20"/>
                <w:color w:val="auto"/>
              </w:rPr>
            </w:pPr>
            <w:r>
              <w:rPr>
                <w:rFonts w:ascii="Times New Roman" w:cs="Times New Roman" w:eastAsia="Times New Roman" w:hAnsi="Times New Roman"/>
                <w:sz w:val="20"/>
                <w:szCs w:val="20"/>
                <w:color w:val="231F20"/>
              </w:rPr>
              <w:t>609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Employee common stock purchases</w:t>
            </w:r>
          </w:p>
        </w:tc>
        <w:tc>
          <w:tcPr>
            <w:tcW w:w="0" w:type="dxa"/>
            <w:vAlign w:val="bottom"/>
            <w:shd w:val="clear" w:color="auto" w:fill="E6E7E8"/>
          </w:tcPr>
          <w:p>
            <w:pPr>
              <w:spacing w:after="0"/>
              <w:rPr>
                <w:sz w:val="21"/>
                <w:szCs w:val="21"/>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92</w:t>
            </w:r>
          </w:p>
        </w:tc>
        <w:tc>
          <w:tcPr>
            <w:tcW w:w="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8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11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118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92</w:t>
            </w: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Other comprehensive (loss), net of taxes</w:t>
            </w:r>
          </w:p>
        </w:tc>
        <w:tc>
          <w:tcPr>
            <w:tcW w:w="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(730)</w:t>
            </w:r>
          </w:p>
        </w:tc>
        <w:tc>
          <w:tcPr>
            <w:tcW w:w="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0" w:type="dxa"/>
            <w:vAlign w:val="bottom"/>
            <w:shd w:val="clear" w:color="auto" w:fill="E6E7E8"/>
          </w:tcPr>
          <w:p>
            <w:pPr>
              <w:spacing w:after="0"/>
              <w:rPr>
                <w:sz w:val="21"/>
                <w:szCs w:val="21"/>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3,118</w:t>
            </w:r>
          </w:p>
        </w:tc>
        <w:tc>
          <w:tcPr>
            <w:tcW w:w="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8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c>
          <w:tcPr>
            <w:tcW w:w="11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40" w:type="dxa"/>
            <w:vAlign w:val="bottom"/>
            <w:shd w:val="clear" w:color="auto" w:fill="E6E7E8"/>
          </w:tcPr>
          <w:p>
            <w:pPr>
              <w:spacing w:after="0"/>
              <w:rPr>
                <w:sz w:val="21"/>
                <w:szCs w:val="21"/>
                <w:color w:val="auto"/>
              </w:rPr>
            </w:pPr>
          </w:p>
        </w:tc>
        <w:tc>
          <w:tcPr>
            <w:tcW w:w="118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3,118</w:t>
            </w:r>
          </w:p>
        </w:tc>
        <w:tc>
          <w:tcPr>
            <w:tcW w:w="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r>
      <w:tr>
        <w:trPr>
          <w:trHeight w:val="244"/>
        </w:trPr>
        <w:tc>
          <w:tcPr>
            <w:tcW w:w="358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Stock options exercised</w:t>
            </w:r>
          </w:p>
        </w:tc>
        <w:tc>
          <w:tcPr>
            <w:tcW w:w="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1,029</w:t>
            </w:r>
          </w:p>
        </w:tc>
        <w:tc>
          <w:tcPr>
            <w:tcW w:w="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1,031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3580" w:type="dxa"/>
            <w:vAlign w:val="bottom"/>
            <w:gridSpan w:val="7"/>
            <w:shd w:val="clear" w:color="auto" w:fill="E6E7E8"/>
          </w:tcPr>
          <w:p>
            <w:pPr>
              <w:spacing w:after="0"/>
              <w:rPr>
                <w:sz w:val="20"/>
                <w:szCs w:val="20"/>
                <w:color w:val="auto"/>
              </w:rPr>
            </w:pPr>
            <w:r>
              <w:rPr>
                <w:rFonts w:ascii="Times New Roman" w:cs="Times New Roman" w:eastAsia="Times New Roman" w:hAnsi="Times New Roman"/>
                <w:sz w:val="20"/>
                <w:szCs w:val="20"/>
                <w:color w:val="231F20"/>
              </w:rPr>
              <w:t>Purchase of treasury stock</w:t>
            </w:r>
          </w:p>
        </w:tc>
        <w:tc>
          <w:tcPr>
            <w:tcW w:w="0" w:type="dxa"/>
            <w:vAlign w:val="bottom"/>
            <w:shd w:val="clear" w:color="auto" w:fill="E6E7E8"/>
          </w:tcPr>
          <w:p>
            <w:pPr>
              <w:spacing w:after="0"/>
              <w:rPr>
                <w:sz w:val="22"/>
                <w:szCs w:val="22"/>
                <w:color w:val="auto"/>
              </w:rPr>
            </w:pPr>
          </w:p>
        </w:tc>
        <w:tc>
          <w:tcPr>
            <w:tcW w:w="92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880" w:type="dxa"/>
            <w:vAlign w:val="bottom"/>
            <w:gridSpan w:val="3"/>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100" w:type="dxa"/>
            <w:vAlign w:val="bottom"/>
            <w:shd w:val="clear" w:color="auto" w:fill="E6E7E8"/>
          </w:tcPr>
          <w:p>
            <w:pPr>
              <w:spacing w:after="0"/>
              <w:rPr>
                <w:sz w:val="22"/>
                <w:szCs w:val="22"/>
                <w:color w:val="auto"/>
              </w:rPr>
            </w:pPr>
          </w:p>
        </w:tc>
        <w:tc>
          <w:tcPr>
            <w:tcW w:w="100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40" w:type="dxa"/>
            <w:vAlign w:val="bottom"/>
            <w:shd w:val="clear" w:color="auto" w:fill="E6E7E8"/>
          </w:tcPr>
          <w:p>
            <w:pPr>
              <w:spacing w:after="0"/>
              <w:rPr>
                <w:sz w:val="22"/>
                <w:szCs w:val="22"/>
                <w:color w:val="auto"/>
              </w:rPr>
            </w:pPr>
          </w:p>
        </w:tc>
        <w:tc>
          <w:tcPr>
            <w:tcW w:w="8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(2,246)</w:t>
            </w:r>
          </w:p>
        </w:tc>
        <w:tc>
          <w:tcPr>
            <w:tcW w:w="0" w:type="dxa"/>
            <w:vAlign w:val="bottom"/>
            <w:shd w:val="clear" w:color="auto" w:fill="E6E7E8"/>
          </w:tcPr>
          <w:p>
            <w:pPr>
              <w:spacing w:after="0"/>
              <w:rPr>
                <w:sz w:val="22"/>
                <w:szCs w:val="22"/>
                <w:color w:val="auto"/>
              </w:rPr>
            </w:pPr>
          </w:p>
        </w:tc>
        <w:tc>
          <w:tcPr>
            <w:tcW w:w="1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60" w:type="dxa"/>
            <w:vAlign w:val="bottom"/>
            <w:shd w:val="clear" w:color="auto" w:fill="E6E7E8"/>
          </w:tcPr>
          <w:p>
            <w:pPr>
              <w:spacing w:after="0"/>
              <w:rPr>
                <w:sz w:val="22"/>
                <w:szCs w:val="22"/>
                <w:color w:val="auto"/>
              </w:rPr>
            </w:pPr>
          </w:p>
        </w:tc>
        <w:tc>
          <w:tcPr>
            <w:tcW w:w="118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40" w:type="dxa"/>
            <w:vAlign w:val="bottom"/>
            <w:shd w:val="clear" w:color="auto" w:fill="E6E7E8"/>
          </w:tcPr>
          <w:p>
            <w:pPr>
              <w:spacing w:after="0"/>
              <w:rPr>
                <w:sz w:val="22"/>
                <w:szCs w:val="22"/>
                <w:color w:val="auto"/>
              </w:rPr>
            </w:pPr>
          </w:p>
        </w:tc>
        <w:tc>
          <w:tcPr>
            <w:tcW w:w="1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(2,246)</w:t>
            </w:r>
          </w:p>
        </w:tc>
        <w:tc>
          <w:tcPr>
            <w:tcW w:w="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r>
      <w:tr>
        <w:trPr>
          <w:trHeight w:val="219"/>
        </w:trPr>
        <w:tc>
          <w:tcPr>
            <w:tcW w:w="3500" w:type="dxa"/>
            <w:vAlign w:val="bottom"/>
            <w:tcBorders>
              <w:top w:val="single" w:sz="8" w:color="E6E7E8"/>
            </w:tcBorders>
            <w:gridSpan w:val="3"/>
          </w:tcPr>
          <w:p>
            <w:pPr>
              <w:spacing w:after="0" w:line="219" w:lineRule="exact"/>
              <w:rPr>
                <w:sz w:val="20"/>
                <w:szCs w:val="20"/>
                <w:color w:val="auto"/>
              </w:rPr>
            </w:pPr>
            <w:r>
              <w:rPr>
                <w:rFonts w:ascii="Times New Roman" w:cs="Times New Roman" w:eastAsia="Times New Roman" w:hAnsi="Times New Roman"/>
                <w:sz w:val="20"/>
                <w:szCs w:val="20"/>
                <w:color w:val="231F20"/>
              </w:rPr>
              <w:t>Balances, December 31, 2025</w:t>
            </w:r>
          </w:p>
        </w:tc>
        <w:tc>
          <w:tcPr>
            <w:tcW w:w="80" w:type="dxa"/>
            <w:vAlign w:val="bottom"/>
            <w:tcBorders>
              <w:top w:val="single" w:sz="8" w:color="231F20"/>
            </w:tcBorders>
            <w:gridSpan w:val="4"/>
          </w:tcPr>
          <w:p>
            <w:pPr>
              <w:spacing w:after="0"/>
              <w:rPr>
                <w:sz w:val="19"/>
                <w:szCs w:val="19"/>
                <w:color w:val="auto"/>
              </w:rPr>
            </w:pPr>
          </w:p>
        </w:tc>
        <w:tc>
          <w:tcPr>
            <w:tcW w:w="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00" w:type="dxa"/>
            <w:vAlign w:val="bottom"/>
            <w:tcBorders>
              <w:top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137</w:t>
            </w:r>
          </w:p>
        </w:tc>
        <w:tc>
          <w:tcPr>
            <w:tcW w:w="20" w:type="dxa"/>
            <w:vAlign w:val="bottom"/>
            <w:tcBorders>
              <w:top w:val="single" w:sz="8" w:color="231F20"/>
            </w:tcBorders>
          </w:tcPr>
          <w:p>
            <w:pPr>
              <w:spacing w:after="0"/>
              <w:rPr>
                <w:sz w:val="19"/>
                <w:szCs w:val="19"/>
                <w:color w:val="auto"/>
              </w:rPr>
            </w:pP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2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top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42,515</w:t>
            </w:r>
          </w:p>
        </w:tc>
        <w:tc>
          <w:tcPr>
            <w:tcW w:w="0" w:type="dxa"/>
            <w:vAlign w:val="bottom"/>
            <w:tcBorders>
              <w:top w:val="single" w:sz="8" w:color="231F20"/>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40" w:type="dxa"/>
            <w:vAlign w:val="bottom"/>
            <w:tcBorders>
              <w:top w:val="single" w:sz="8" w:color="231F20"/>
            </w:tcBorders>
            <w:gridSpan w:val="3"/>
          </w:tcPr>
          <w:p>
            <w:pPr>
              <w:jc w:val="right"/>
              <w:ind w:right="17"/>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top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56,426</w:t>
            </w:r>
          </w:p>
        </w:tc>
        <w:tc>
          <w:tcPr>
            <w:tcW w:w="0" w:type="dxa"/>
            <w:vAlign w:val="bottom"/>
            <w:tcBorders>
              <w:top w:val="single" w:sz="8" w:color="231F20"/>
            </w:tcBorders>
          </w:tcPr>
          <w:p>
            <w:pPr>
              <w:spacing w:after="0"/>
              <w:rPr>
                <w:sz w:val="19"/>
                <w:szCs w:val="19"/>
                <w:color w:val="auto"/>
              </w:rPr>
            </w:pPr>
          </w:p>
        </w:tc>
        <w:tc>
          <w:tcPr>
            <w:tcW w:w="12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8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(7,131)</w:t>
            </w:r>
          </w:p>
        </w:tc>
        <w:tc>
          <w:tcPr>
            <w:tcW w:w="0" w:type="dxa"/>
            <w:vAlign w:val="bottom"/>
            <w:tcBorders>
              <w:top w:val="single" w:sz="8" w:color="231F20"/>
            </w:tcBorders>
          </w:tcPr>
          <w:p>
            <w:pPr>
              <w:spacing w:after="0"/>
              <w:rPr>
                <w:sz w:val="19"/>
                <w:szCs w:val="19"/>
                <w:color w:val="auto"/>
              </w:rPr>
            </w:pPr>
          </w:p>
        </w:tc>
        <w:tc>
          <w:tcPr>
            <w:tcW w:w="12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0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(2,640)</w:t>
            </w:r>
          </w:p>
        </w:tc>
        <w:tc>
          <w:tcPr>
            <w:tcW w:w="0" w:type="dxa"/>
            <w:vAlign w:val="bottom"/>
            <w:tcBorders>
              <w:top w:val="single" w:sz="8" w:color="231F20"/>
            </w:tcBorders>
          </w:tcPr>
          <w:p>
            <w:pPr>
              <w:spacing w:after="0"/>
              <w:rPr>
                <w:sz w:val="19"/>
                <w:szCs w:val="19"/>
                <w:color w:val="auto"/>
              </w:rPr>
            </w:pPr>
          </w:p>
        </w:tc>
        <w:tc>
          <w:tcPr>
            <w:tcW w:w="12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8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80" w:type="dxa"/>
            <w:vAlign w:val="bottom"/>
            <w:tcBorders>
              <w:top w:val="single" w:sz="8" w:color="231F20"/>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231F20"/>
              </w:rPr>
              <w:t>89,308</w:t>
            </w:r>
          </w:p>
        </w:tc>
        <w:tc>
          <w:tcPr>
            <w:tcW w:w="20" w:type="dxa"/>
            <w:vAlign w:val="bottom"/>
            <w:tcBorders>
              <w:top w:val="single" w:sz="8" w:color="231F20"/>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800"/>
          </w:cols>
          <w:pgMar w:left="540" w:top="746" w:right="540" w:bottom="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(Amounts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239"/>
        </w:trPr>
        <w:tc>
          <w:tcPr>
            <w:tcW w:w="5720" w:type="dxa"/>
            <w:vAlign w:val="bottom"/>
            <w:tcBorders>
              <w:bottom w:val="single" w:sz="8" w:color="E6E7E8"/>
            </w:tcBorders>
          </w:tcPr>
          <w:p>
            <w:pPr>
              <w:spacing w:after="0"/>
              <w:rPr>
                <w:sz w:val="20"/>
                <w:szCs w:val="20"/>
                <w:color w:val="auto"/>
              </w:rPr>
            </w:pPr>
          </w:p>
        </w:tc>
        <w:tc>
          <w:tcPr>
            <w:tcW w:w="58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20"/>
                <w:szCs w:val="20"/>
                <w:color w:val="auto"/>
              </w:rPr>
            </w:pPr>
          </w:p>
        </w:tc>
      </w:tr>
      <w:tr>
        <w:trPr>
          <w:trHeight w:val="239"/>
        </w:trPr>
        <w:tc>
          <w:tcPr>
            <w:tcW w:w="57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OPERATING ACTIVITIES:</w:t>
            </w:r>
          </w:p>
        </w:tc>
        <w:tc>
          <w:tcPr>
            <w:tcW w:w="58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102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r>
      <w:tr>
        <w:trPr>
          <w:trHeight w:val="244"/>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income (loss)</w:t>
            </w:r>
          </w:p>
        </w:tc>
        <w:tc>
          <w:tcPr>
            <w:tcW w:w="58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609</w:t>
            </w:r>
          </w:p>
        </w:tc>
        <w:tc>
          <w:tcPr>
            <w:tcW w:w="1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3,402</w:t>
            </w:r>
          </w:p>
        </w:tc>
        <w:tc>
          <w:tcPr>
            <w:tcW w:w="16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(7,138)</w:t>
            </w:r>
          </w:p>
        </w:tc>
      </w:tr>
      <w:tr>
        <w:trPr>
          <w:trHeight w:val="225"/>
        </w:trPr>
        <w:tc>
          <w:tcPr>
            <w:tcW w:w="5720" w:type="dxa"/>
            <w:vAlign w:val="bottom"/>
            <w:shd w:val="clear" w:color="auto" w:fill="E6E7E8"/>
          </w:tcPr>
          <w:p>
            <w:pPr>
              <w:ind w:left="200"/>
              <w:spacing w:after="0" w:line="225" w:lineRule="exact"/>
              <w:rPr>
                <w:sz w:val="20"/>
                <w:szCs w:val="20"/>
                <w:color w:val="auto"/>
              </w:rPr>
            </w:pPr>
            <w:r>
              <w:rPr>
                <w:rFonts w:ascii="Times New Roman" w:cs="Times New Roman" w:eastAsia="Times New Roman" w:hAnsi="Times New Roman"/>
                <w:sz w:val="20"/>
                <w:szCs w:val="20"/>
                <w:color w:val="231F20"/>
              </w:rPr>
              <w:t>Adjustments to reconcile net income (loss) to</w:t>
            </w:r>
          </w:p>
        </w:tc>
        <w:tc>
          <w:tcPr>
            <w:tcW w:w="58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2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r>
      <w:tr>
        <w:trPr>
          <w:trHeight w:val="249"/>
        </w:trPr>
        <w:tc>
          <w:tcPr>
            <w:tcW w:w="5720" w:type="dxa"/>
            <w:vAlign w:val="bottom"/>
            <w:shd w:val="clear" w:color="auto" w:fill="E6E7E8"/>
          </w:tcPr>
          <w:p>
            <w:pPr>
              <w:ind w:left="360"/>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3,324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3,499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3,855</w:t>
            </w:r>
          </w:p>
        </w:tc>
        <w:tc>
          <w:tcPr>
            <w:tcW w:w="80" w:type="dxa"/>
            <w:vAlign w:val="bottom"/>
          </w:tcPr>
          <w:p>
            <w:pPr>
              <w:spacing w:after="0"/>
              <w:rPr>
                <w:sz w:val="21"/>
                <w:szCs w:val="21"/>
                <w:color w:val="auto"/>
              </w:rPr>
            </w:pP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Bad debt expense</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36</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(30)</w:t>
            </w: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Interest amortization of deferred financing costs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80" w:type="dxa"/>
            <w:vAlign w:val="bottom"/>
          </w:tcPr>
          <w:p>
            <w:pPr>
              <w:spacing w:after="0"/>
              <w:rPr>
                <w:sz w:val="21"/>
                <w:szCs w:val="21"/>
                <w:color w:val="auto"/>
              </w:rPr>
            </w:pP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3,118</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2,200</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3,082</w:t>
            </w:r>
          </w:p>
        </w:tc>
        <w:tc>
          <w:tcPr>
            <w:tcW w:w="80" w:type="dxa"/>
            <w:vAlign w:val="bottom"/>
            <w:shd w:val="clear" w:color="auto" w:fill="E6E7E8"/>
          </w:tcPr>
          <w:p>
            <w:pPr>
              <w:spacing w:after="0"/>
              <w:rPr>
                <w:sz w:val="21"/>
                <w:szCs w:val="21"/>
                <w:color w:val="auto"/>
              </w:rPr>
            </w:pP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Deferred income taxes, net</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(1,714)</w:t>
            </w: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Impairment of goodwill</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5,300</w:t>
            </w:r>
          </w:p>
        </w:tc>
        <w:tc>
          <w:tcPr>
            <w:tcW w:w="80" w:type="dxa"/>
            <w:vAlign w:val="bottom"/>
            <w:shd w:val="clear" w:color="auto" w:fill="E6E7E8"/>
          </w:tcPr>
          <w:p>
            <w:pPr>
              <w:spacing w:after="0"/>
              <w:rPr>
                <w:sz w:val="21"/>
                <w:szCs w:val="21"/>
                <w:color w:val="auto"/>
              </w:rPr>
            </w:pP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Operating lease assets and liabilities, net</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46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80" w:type="dxa"/>
            <w:vAlign w:val="bottom"/>
          </w:tcPr>
          <w:p>
            <w:pPr>
              <w:spacing w:after="0"/>
              <w:rPr>
                <w:sz w:val="21"/>
                <w:szCs w:val="21"/>
                <w:color w:val="auto"/>
              </w:rPr>
            </w:pP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Loss on disposition of fixed assets</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4</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24</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shd w:val="clear" w:color="auto" w:fill="E6E7E8"/>
          </w:tcPr>
          <w:p>
            <w:pPr>
              <w:spacing w:after="0"/>
              <w:rPr>
                <w:sz w:val="21"/>
                <w:szCs w:val="21"/>
                <w:color w:val="auto"/>
              </w:rPr>
            </w:pP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Amortization of deferred compensation</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500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987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Long-term severance liability</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(657)</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Payment of deferred compensation</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Long-term accrued income taxes</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(36)</w:t>
            </w:r>
          </w:p>
        </w:tc>
      </w:tr>
      <w:tr>
        <w:trPr>
          <w:trHeight w:val="244"/>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Working capital items: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Accounts receivable and unbilled receivables</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5,013</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(1,411)</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12,537</w:t>
            </w:r>
          </w:p>
        </w:tc>
        <w:tc>
          <w:tcPr>
            <w:tcW w:w="80" w:type="dxa"/>
            <w:vAlign w:val="bottom"/>
            <w:shd w:val="clear" w:color="auto" w:fill="E6E7E8"/>
          </w:tcPr>
          <w:p>
            <w:pPr>
              <w:spacing w:after="0"/>
              <w:rPr>
                <w:sz w:val="21"/>
                <w:szCs w:val="21"/>
                <w:color w:val="auto"/>
              </w:rPr>
            </w:pP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Prepaid and other current assets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1,729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(1,718)</w:t>
            </w: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Accounts payable</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(1,215)</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39</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186</w:t>
            </w:r>
          </w:p>
        </w:tc>
        <w:tc>
          <w:tcPr>
            <w:tcW w:w="80" w:type="dxa"/>
            <w:vAlign w:val="bottom"/>
            <w:shd w:val="clear" w:color="auto" w:fill="E6E7E8"/>
          </w:tcPr>
          <w:p>
            <w:pPr>
              <w:spacing w:after="0"/>
              <w:rPr>
                <w:sz w:val="21"/>
                <w:szCs w:val="21"/>
                <w:color w:val="auto"/>
              </w:rPr>
            </w:pPr>
          </w:p>
        </w:tc>
      </w:tr>
      <w:tr>
        <w:trPr>
          <w:trHeight w:val="244"/>
        </w:trPr>
        <w:tc>
          <w:tcPr>
            <w:tcW w:w="57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Accrued payroll and related costs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1,756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1,452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1,276</w:t>
            </w:r>
          </w:p>
        </w:tc>
        <w:tc>
          <w:tcPr>
            <w:tcW w:w="80" w:type="dxa"/>
            <w:vAlign w:val="bottom"/>
          </w:tcPr>
          <w:p>
            <w:pPr>
              <w:spacing w:after="0"/>
              <w:rPr>
                <w:sz w:val="21"/>
                <w:szCs w:val="21"/>
                <w:color w:val="auto"/>
              </w:rPr>
            </w:pPr>
          </w:p>
        </w:tc>
      </w:tr>
      <w:tr>
        <w:trPr>
          <w:trHeight w:val="244"/>
        </w:trPr>
        <w:tc>
          <w:tcPr>
            <w:tcW w:w="5720" w:type="dxa"/>
            <w:vAlign w:val="bottom"/>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Other accrued liabilities</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357</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(386)</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(248)</w:t>
            </w:r>
          </w:p>
        </w:tc>
      </w:tr>
      <w:tr>
        <w:trPr>
          <w:trHeight w:val="244"/>
        </w:trPr>
        <w:tc>
          <w:tcPr>
            <w:tcW w:w="5720" w:type="dxa"/>
            <w:vAlign w:val="bottom"/>
            <w:tcBorders>
              <w:bottom w:val="single" w:sz="8" w:color="E6E7E8"/>
            </w:tcBorders>
          </w:tcPr>
          <w:p>
            <w:pPr>
              <w:ind w:left="400"/>
              <w:spacing w:after="0"/>
              <w:rPr>
                <w:sz w:val="20"/>
                <w:szCs w:val="20"/>
                <w:color w:val="auto"/>
              </w:rPr>
            </w:pPr>
            <w:r>
              <w:rPr>
                <w:rFonts w:ascii="Times New Roman" w:cs="Times New Roman" w:eastAsia="Times New Roman" w:hAnsi="Times New Roman"/>
                <w:sz w:val="20"/>
                <w:szCs w:val="20"/>
                <w:color w:val="231F20"/>
              </w:rPr>
              <w:t>Deferred revenue</w:t>
            </w:r>
          </w:p>
        </w:tc>
        <w:tc>
          <w:tcPr>
            <w:tcW w:w="58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(288)</w:t>
            </w:r>
          </w:p>
        </w:tc>
        <w:tc>
          <w:tcPr>
            <w:tcW w:w="1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(355)</w:t>
            </w:r>
          </w:p>
        </w:tc>
        <w:tc>
          <w:tcPr>
            <w:tcW w:w="1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477</w:t>
            </w:r>
          </w:p>
        </w:tc>
        <w:tc>
          <w:tcPr>
            <w:tcW w:w="80" w:type="dxa"/>
            <w:vAlign w:val="bottom"/>
            <w:tcBorders>
              <w:bottom w:val="single" w:sz="8" w:color="231F20"/>
            </w:tcBorders>
          </w:tcPr>
          <w:p>
            <w:pPr>
              <w:spacing w:after="0"/>
              <w:rPr>
                <w:sz w:val="21"/>
                <w:szCs w:val="21"/>
                <w:color w:val="auto"/>
              </w:rPr>
            </w:pPr>
          </w:p>
        </w:tc>
      </w:tr>
      <w:tr>
        <w:trPr>
          <w:trHeight w:val="239"/>
        </w:trPr>
        <w:tc>
          <w:tcPr>
            <w:tcW w:w="5720" w:type="dxa"/>
            <w:vAlign w:val="bottom"/>
            <w:shd w:val="clear" w:color="auto" w:fill="E6E7E8"/>
          </w:tcPr>
          <w:p>
            <w:pPr>
              <w:ind w:left="600"/>
              <w:spacing w:after="0"/>
              <w:rPr>
                <w:sz w:val="20"/>
                <w:szCs w:val="20"/>
                <w:color w:val="auto"/>
              </w:rPr>
            </w:pPr>
            <w:r>
              <w:rPr>
                <w:rFonts w:ascii="Times New Roman" w:cs="Times New Roman" w:eastAsia="Times New Roman" w:hAnsi="Times New Roman"/>
                <w:sz w:val="20"/>
                <w:szCs w:val="20"/>
                <w:color w:val="231F20"/>
              </w:rPr>
              <w:t>Net cash flows provided by operating activities</w:t>
            </w:r>
          </w:p>
        </w:tc>
        <w:tc>
          <w:tcPr>
            <w:tcW w:w="58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11,135</w:t>
            </w:r>
          </w:p>
        </w:tc>
        <w:tc>
          <w:tcPr>
            <w:tcW w:w="1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7,192</w:t>
            </w:r>
          </w:p>
        </w:tc>
        <w:tc>
          <w:tcPr>
            <w:tcW w:w="1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15,978</w:t>
            </w:r>
          </w:p>
        </w:tc>
        <w:tc>
          <w:tcPr>
            <w:tcW w:w="80" w:type="dxa"/>
            <w:vAlign w:val="bottom"/>
            <w:tcBorders>
              <w:bottom w:val="single" w:sz="8" w:color="231F20"/>
            </w:tcBorders>
            <w:shd w:val="clear" w:color="auto" w:fill="E6E7E8"/>
          </w:tcPr>
          <w:p>
            <w:pPr>
              <w:spacing w:after="0"/>
              <w:rPr>
                <w:sz w:val="20"/>
                <w:szCs w:val="20"/>
                <w:color w:val="auto"/>
              </w:rPr>
            </w:pPr>
          </w:p>
        </w:tc>
      </w:tr>
      <w:tr>
        <w:trPr>
          <w:trHeight w:val="23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INVESTING ACTIVITIES: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57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Recovery of (payments for) non-current deposits</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80" w:type="dxa"/>
            <w:vAlign w:val="bottom"/>
            <w:shd w:val="clear" w:color="auto" w:fill="E6E7E8"/>
          </w:tcPr>
          <w:p>
            <w:pPr>
              <w:spacing w:after="0"/>
              <w:rPr>
                <w:sz w:val="21"/>
                <w:szCs w:val="21"/>
                <w:color w:val="auto"/>
              </w:rPr>
            </w:pPr>
          </w:p>
        </w:tc>
      </w:tr>
      <w:tr>
        <w:trPr>
          <w:trHeight w:val="244"/>
        </w:trPr>
        <w:tc>
          <w:tcPr>
            <w:tcW w:w="572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color w:val="231F20"/>
              </w:rPr>
              <w:t>Capital expenditures</w:t>
            </w:r>
          </w:p>
        </w:tc>
        <w:tc>
          <w:tcPr>
            <w:tcW w:w="58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(376)</w:t>
            </w:r>
          </w:p>
        </w:tc>
        <w:tc>
          <w:tcPr>
            <w:tcW w:w="1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(941)</w:t>
            </w:r>
          </w:p>
        </w:tc>
        <w:tc>
          <w:tcPr>
            <w:tcW w:w="16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(335)</w:t>
            </w:r>
          </w:p>
        </w:tc>
      </w:tr>
      <w:tr>
        <w:trPr>
          <w:trHeight w:val="239"/>
        </w:trPr>
        <w:tc>
          <w:tcPr>
            <w:tcW w:w="5720" w:type="dxa"/>
            <w:vAlign w:val="bottom"/>
            <w:shd w:val="clear" w:color="auto" w:fill="E6E7E8"/>
          </w:tcPr>
          <w:p>
            <w:pPr>
              <w:ind w:left="600"/>
              <w:spacing w:after="0"/>
              <w:rPr>
                <w:sz w:val="20"/>
                <w:szCs w:val="20"/>
                <w:color w:val="auto"/>
              </w:rPr>
            </w:pPr>
            <w:r>
              <w:rPr>
                <w:rFonts w:ascii="Times New Roman" w:cs="Times New Roman" w:eastAsia="Times New Roman" w:hAnsi="Times New Roman"/>
                <w:sz w:val="20"/>
                <w:szCs w:val="20"/>
                <w:color w:val="231F20"/>
              </w:rPr>
              <w:t>Net cash flows (used in) investing activities</w:t>
            </w:r>
          </w:p>
        </w:tc>
        <w:tc>
          <w:tcPr>
            <w:tcW w:w="58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(486)</w:t>
            </w:r>
          </w:p>
        </w:tc>
        <w:tc>
          <w:tcPr>
            <w:tcW w:w="1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(941)</w:t>
            </w:r>
          </w:p>
        </w:tc>
        <w:tc>
          <w:tcPr>
            <w:tcW w:w="1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(216)</w:t>
            </w:r>
          </w:p>
        </w:tc>
      </w:tr>
      <w:tr>
        <w:trPr>
          <w:trHeight w:val="23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FINANCING ACTIVITIES: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57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(Repayments) on term loan facility</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(1,100)</w:t>
            </w:r>
          </w:p>
        </w:tc>
      </w:tr>
      <w:tr>
        <w:trPr>
          <w:trHeight w:val="244"/>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Proceeds from the issuance of common stock</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91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223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80" w:type="dxa"/>
            <w:vAlign w:val="bottom"/>
          </w:tcPr>
          <w:p>
            <w:pPr>
              <w:spacing w:after="0"/>
              <w:rPr>
                <w:sz w:val="21"/>
                <w:szCs w:val="21"/>
                <w:color w:val="auto"/>
              </w:rPr>
            </w:pPr>
          </w:p>
        </w:tc>
      </w:tr>
      <w:tr>
        <w:trPr>
          <w:trHeight w:val="244"/>
        </w:trPr>
        <w:tc>
          <w:tcPr>
            <w:tcW w:w="57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Purchase of treasury stock</w:t>
            </w:r>
          </w:p>
        </w:tc>
        <w:tc>
          <w:tcPr>
            <w:tcW w:w="58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(2,246)</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16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110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(618)</w:t>
            </w:r>
          </w:p>
        </w:tc>
      </w:tr>
      <w:tr>
        <w:trPr>
          <w:trHeight w:val="244"/>
        </w:trPr>
        <w:tc>
          <w:tcPr>
            <w:tcW w:w="57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Payment of deferred financing costs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(64)</w:t>
            </w:r>
          </w:p>
        </w:tc>
      </w:tr>
      <w:tr>
        <w:trPr>
          <w:trHeight w:val="244"/>
        </w:trPr>
        <w:tc>
          <w:tcPr>
            <w:tcW w:w="57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Proceeds from the exercise of stock options</w:t>
            </w:r>
          </w:p>
        </w:tc>
        <w:tc>
          <w:tcPr>
            <w:tcW w:w="58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1,029</w:t>
            </w:r>
          </w:p>
        </w:tc>
        <w:tc>
          <w:tcPr>
            <w:tcW w:w="16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511</w:t>
            </w:r>
          </w:p>
        </w:tc>
        <w:tc>
          <w:tcPr>
            <w:tcW w:w="16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00" w:type="dxa"/>
            <w:vAlign w:val="bottom"/>
            <w:tcBorders>
              <w:bottom w:val="single" w:sz="8" w:color="231F20"/>
            </w:tcBorders>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5720" w:type="dxa"/>
            <w:vAlign w:val="bottom"/>
            <w:tcBorders>
              <w:bottom w:val="single" w:sz="8" w:color="E6E7E8"/>
            </w:tcBorders>
          </w:tcPr>
          <w:p>
            <w:pPr>
              <w:ind w:left="600"/>
              <w:spacing w:after="0"/>
              <w:rPr>
                <w:sz w:val="20"/>
                <w:szCs w:val="20"/>
                <w:color w:val="auto"/>
              </w:rPr>
            </w:pPr>
            <w:r>
              <w:rPr>
                <w:rFonts w:ascii="Times New Roman" w:cs="Times New Roman" w:eastAsia="Times New Roman" w:hAnsi="Times New Roman"/>
                <w:sz w:val="20"/>
                <w:szCs w:val="20"/>
                <w:color w:val="231F20"/>
              </w:rPr>
              <w:t>Net cash flows provided by (used in) financing activities</w:t>
            </w:r>
          </w:p>
        </w:tc>
        <w:tc>
          <w:tcPr>
            <w:tcW w:w="58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(1,126)</w:t>
            </w:r>
          </w:p>
        </w:tc>
        <w:tc>
          <w:tcPr>
            <w:tcW w:w="16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654</w:t>
            </w:r>
          </w:p>
        </w:tc>
        <w:tc>
          <w:tcPr>
            <w:tcW w:w="160" w:type="dxa"/>
            <w:vAlign w:val="bottom"/>
            <w:tcBorders>
              <w:bottom w:val="single" w:sz="8" w:color="E6E7E8"/>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10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(1,578)</w:t>
            </w:r>
          </w:p>
        </w:tc>
      </w:tr>
      <w:tr>
        <w:trPr>
          <w:trHeight w:val="239"/>
        </w:trPr>
        <w:tc>
          <w:tcPr>
            <w:tcW w:w="57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Effect of exchange rate changes on cash and cash equivalents</w:t>
            </w:r>
          </w:p>
        </w:tc>
        <w:tc>
          <w:tcPr>
            <w:tcW w:w="58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(732)</w:t>
            </w:r>
          </w:p>
        </w:tc>
        <w:tc>
          <w:tcPr>
            <w:tcW w:w="1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(310)</w:t>
            </w:r>
          </w:p>
        </w:tc>
        <w:tc>
          <w:tcPr>
            <w:tcW w:w="160" w:type="dxa"/>
            <w:vAlign w:val="bottom"/>
            <w:shd w:val="clear" w:color="auto" w:fill="E6E7E8"/>
          </w:tcPr>
          <w:p>
            <w:pPr>
              <w:spacing w:after="0"/>
              <w:rPr>
                <w:sz w:val="20"/>
                <w:szCs w:val="20"/>
                <w:color w:val="auto"/>
              </w:rPr>
            </w:pPr>
          </w:p>
        </w:tc>
        <w:tc>
          <w:tcPr>
            <w:tcW w:w="280" w:type="dxa"/>
            <w:vAlign w:val="bottom"/>
            <w:tcBorders>
              <w:bottom w:val="single" w:sz="8" w:color="231F20"/>
            </w:tcBorders>
            <w:shd w:val="clear" w:color="auto" w:fill="E6E7E8"/>
          </w:tcPr>
          <w:p>
            <w:pPr>
              <w:spacing w:after="0"/>
              <w:rPr>
                <w:sz w:val="20"/>
                <w:szCs w:val="20"/>
                <w:color w:val="auto"/>
              </w:rPr>
            </w:pPr>
          </w:p>
        </w:tc>
        <w:tc>
          <w:tcPr>
            <w:tcW w:w="110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(94)</w:t>
            </w:r>
          </w:p>
        </w:tc>
      </w:tr>
      <w:tr>
        <w:trPr>
          <w:trHeight w:val="239"/>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231F20"/>
              </w:rPr>
              <w:t>Net change in cash and cash equivalents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8,791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6,595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14,090</w:t>
            </w:r>
          </w:p>
        </w:tc>
        <w:tc>
          <w:tcPr>
            <w:tcW w:w="80" w:type="dxa"/>
            <w:vAlign w:val="bottom"/>
          </w:tcPr>
          <w:p>
            <w:pPr>
              <w:spacing w:after="0"/>
              <w:rPr>
                <w:sz w:val="20"/>
                <w:szCs w:val="20"/>
                <w:color w:val="auto"/>
              </w:rPr>
            </w:pPr>
          </w:p>
        </w:tc>
      </w:tr>
      <w:tr>
        <w:trPr>
          <w:trHeight w:val="244"/>
        </w:trPr>
        <w:tc>
          <w:tcPr>
            <w:tcW w:w="57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Cash and cash equivalents, beginning of period</w:t>
            </w:r>
          </w:p>
        </w:tc>
        <w:tc>
          <w:tcPr>
            <w:tcW w:w="58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27,742</w:t>
            </w:r>
          </w:p>
        </w:tc>
        <w:tc>
          <w:tcPr>
            <w:tcW w:w="16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21,147</w:t>
            </w:r>
          </w:p>
        </w:tc>
        <w:tc>
          <w:tcPr>
            <w:tcW w:w="16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7,057</w:t>
            </w:r>
          </w:p>
        </w:tc>
        <w:tc>
          <w:tcPr>
            <w:tcW w:w="80" w:type="dxa"/>
            <w:vAlign w:val="bottom"/>
            <w:tcBorders>
              <w:bottom w:val="single" w:sz="8" w:color="231F20"/>
            </w:tcBorders>
            <w:shd w:val="clear" w:color="auto" w:fill="E6E7E8"/>
          </w:tcPr>
          <w:p>
            <w:pPr>
              <w:spacing w:after="0"/>
              <w:rPr>
                <w:sz w:val="21"/>
                <w:szCs w:val="21"/>
                <w:color w:val="auto"/>
              </w:rPr>
            </w:pPr>
          </w:p>
        </w:tc>
      </w:tr>
      <w:tr>
        <w:trPr>
          <w:trHeight w:val="279"/>
        </w:trPr>
        <w:tc>
          <w:tcPr>
            <w:tcW w:w="57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Cash and cash equivalents, end of period</w:t>
            </w:r>
          </w:p>
        </w:tc>
        <w:tc>
          <w:tcPr>
            <w:tcW w:w="58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36,533</w:t>
            </w:r>
          </w:p>
        </w:tc>
        <w:tc>
          <w:tcPr>
            <w:tcW w:w="16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27,742</w:t>
            </w:r>
          </w:p>
        </w:tc>
        <w:tc>
          <w:tcPr>
            <w:tcW w:w="16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21,147</w:t>
            </w:r>
          </w:p>
        </w:tc>
        <w:tc>
          <w:tcPr>
            <w:tcW w:w="80" w:type="dxa"/>
            <w:vAlign w:val="bottom"/>
            <w:tcBorders>
              <w:bottom w:val="single" w:sz="8" w:color="231F20"/>
            </w:tcBorders>
          </w:tcPr>
          <w:p>
            <w:pPr>
              <w:spacing w:after="0"/>
              <w:rPr>
                <w:sz w:val="24"/>
                <w:szCs w:val="24"/>
                <w:color w:val="auto"/>
              </w:rPr>
            </w:pPr>
          </w:p>
        </w:tc>
      </w:tr>
      <w:tr>
        <w:trPr>
          <w:trHeight w:val="229"/>
        </w:trPr>
        <w:tc>
          <w:tcPr>
            <w:tcW w:w="57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SUPPLEMENTAL DISCLOSURE:</w:t>
            </w:r>
          </w:p>
        </w:tc>
        <w:tc>
          <w:tcPr>
            <w:tcW w:w="58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120" w:type="dxa"/>
            <w:vAlign w:val="bottom"/>
            <w:shd w:val="clear" w:color="auto" w:fill="E6E7E8"/>
          </w:tcPr>
          <w:p>
            <w:pPr>
              <w:spacing w:after="0"/>
              <w:rPr>
                <w:sz w:val="19"/>
                <w:szCs w:val="19"/>
                <w:color w:val="auto"/>
              </w:rPr>
            </w:pPr>
          </w:p>
        </w:tc>
        <w:tc>
          <w:tcPr>
            <w:tcW w:w="160" w:type="dxa"/>
            <w:vAlign w:val="bottom"/>
            <w:shd w:val="clear" w:color="auto" w:fill="E6E7E8"/>
          </w:tcPr>
          <w:p>
            <w:pPr>
              <w:spacing w:after="0"/>
              <w:rPr>
                <w:sz w:val="19"/>
                <w:szCs w:val="19"/>
                <w:color w:val="auto"/>
              </w:rPr>
            </w:pPr>
          </w:p>
        </w:tc>
        <w:tc>
          <w:tcPr>
            <w:tcW w:w="280" w:type="dxa"/>
            <w:vAlign w:val="bottom"/>
            <w:shd w:val="clear" w:color="auto" w:fill="E6E7E8"/>
          </w:tcPr>
          <w:p>
            <w:pPr>
              <w:spacing w:after="0"/>
              <w:rPr>
                <w:sz w:val="19"/>
                <w:szCs w:val="19"/>
                <w:color w:val="auto"/>
              </w:rPr>
            </w:pPr>
          </w:p>
        </w:tc>
        <w:tc>
          <w:tcPr>
            <w:tcW w:w="1020" w:type="dxa"/>
            <w:vAlign w:val="bottom"/>
            <w:shd w:val="clear" w:color="auto" w:fill="E6E7E8"/>
          </w:tcPr>
          <w:p>
            <w:pPr>
              <w:spacing w:after="0"/>
              <w:rPr>
                <w:sz w:val="19"/>
                <w:szCs w:val="19"/>
                <w:color w:val="auto"/>
              </w:rPr>
            </w:pPr>
          </w:p>
        </w:tc>
        <w:tc>
          <w:tcPr>
            <w:tcW w:w="80" w:type="dxa"/>
            <w:vAlign w:val="bottom"/>
            <w:shd w:val="clear" w:color="auto" w:fill="E6E7E8"/>
          </w:tcPr>
          <w:p>
            <w:pPr>
              <w:spacing w:after="0"/>
              <w:rPr>
                <w:sz w:val="19"/>
                <w:szCs w:val="19"/>
                <w:color w:val="auto"/>
              </w:rPr>
            </w:pPr>
          </w:p>
        </w:tc>
      </w:tr>
      <w:tr>
        <w:trPr>
          <w:trHeight w:val="284"/>
        </w:trPr>
        <w:tc>
          <w:tcPr>
            <w:tcW w:w="572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color w:val="231F20"/>
              </w:rPr>
              <w:t>Cash payments for interest expense</w:t>
            </w:r>
          </w:p>
        </w:tc>
        <w:tc>
          <w:tcPr>
            <w:tcW w:w="58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Borders>
              <w:bottom w:val="single" w:sz="8" w:color="E6E7E8"/>
            </w:tcBorders>
          </w:tcPr>
          <w:p>
            <w:pPr>
              <w:spacing w:after="0"/>
              <w:rPr>
                <w:sz w:val="24"/>
                <w:szCs w:val="24"/>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Borders>
              <w:bottom w:val="single" w:sz="8" w:color="231F20"/>
            </w:tcBorders>
          </w:tcPr>
          <w:p>
            <w:pPr>
              <w:spacing w:after="0"/>
              <w:rPr>
                <w:sz w:val="24"/>
                <w:szCs w:val="24"/>
                <w:color w:val="auto"/>
              </w:rPr>
            </w:pPr>
          </w:p>
        </w:tc>
      </w:tr>
      <w:tr>
        <w:trPr>
          <w:trHeight w:val="229"/>
        </w:trPr>
        <w:tc>
          <w:tcPr>
            <w:tcW w:w="57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Cash payments for income taxes</w:t>
            </w:r>
          </w:p>
        </w:tc>
        <w:tc>
          <w:tcPr>
            <w:tcW w:w="580" w:type="dxa"/>
            <w:vAlign w:val="bottom"/>
            <w:shd w:val="clear" w:color="auto" w:fill="E6E7E8"/>
          </w:tcPr>
          <w:p>
            <w:pPr>
              <w:spacing w:after="0"/>
              <w:rPr>
                <w:sz w:val="19"/>
                <w:szCs w:val="19"/>
                <w:color w:val="auto"/>
              </w:rPr>
            </w:pPr>
          </w:p>
        </w:tc>
        <w:tc>
          <w:tcPr>
            <w:tcW w:w="280" w:type="dxa"/>
            <w:vAlign w:val="bottom"/>
            <w:tcBorders>
              <w:bottom w:val="single" w:sz="8" w:color="231F20"/>
            </w:tcBorders>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868</w:t>
            </w:r>
          </w:p>
        </w:tc>
        <w:tc>
          <w:tcPr>
            <w:tcW w:w="160" w:type="dxa"/>
            <w:vAlign w:val="bottom"/>
            <w:shd w:val="clear" w:color="auto" w:fill="E6E7E8"/>
          </w:tcPr>
          <w:p>
            <w:pPr>
              <w:spacing w:after="0"/>
              <w:rPr>
                <w:sz w:val="19"/>
                <w:szCs w:val="19"/>
                <w:color w:val="auto"/>
              </w:rPr>
            </w:pPr>
          </w:p>
        </w:tc>
        <w:tc>
          <w:tcPr>
            <w:tcW w:w="280" w:type="dxa"/>
            <w:vAlign w:val="bottom"/>
            <w:tcBorders>
              <w:bottom w:val="single" w:sz="8" w:color="231F20"/>
            </w:tcBorders>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120" w:type="dxa"/>
            <w:vAlign w:val="bottom"/>
            <w:tcBorders>
              <w:bottom w:val="single" w:sz="8" w:color="231F20"/>
            </w:tcBorders>
            <w:shd w:val="clear" w:color="auto" w:fill="E6E7E8"/>
          </w:tcPr>
          <w:p>
            <w:pPr>
              <w:jc w:val="right"/>
              <w:ind w:right="21"/>
              <w:spacing w:after="0"/>
              <w:rPr>
                <w:sz w:val="20"/>
                <w:szCs w:val="20"/>
                <w:color w:val="auto"/>
              </w:rPr>
            </w:pPr>
            <w:r>
              <w:rPr>
                <w:rFonts w:ascii="Times New Roman" w:cs="Times New Roman" w:eastAsia="Times New Roman" w:hAnsi="Times New Roman"/>
                <w:sz w:val="20"/>
                <w:szCs w:val="20"/>
                <w:color w:val="231F20"/>
              </w:rPr>
              <w:t>2,227</w:t>
            </w:r>
          </w:p>
        </w:tc>
        <w:tc>
          <w:tcPr>
            <w:tcW w:w="160" w:type="dxa"/>
            <w:vAlign w:val="bottom"/>
            <w:shd w:val="clear" w:color="auto" w:fill="E6E7E8"/>
          </w:tcPr>
          <w:p>
            <w:pPr>
              <w:spacing w:after="0"/>
              <w:rPr>
                <w:sz w:val="19"/>
                <w:szCs w:val="19"/>
                <w:color w:val="auto"/>
              </w:rPr>
            </w:pPr>
          </w:p>
        </w:tc>
        <w:tc>
          <w:tcPr>
            <w:tcW w:w="280" w:type="dxa"/>
            <w:vAlign w:val="bottom"/>
            <w:tcBorders>
              <w:bottom w:val="single" w:sz="8" w:color="231F20"/>
            </w:tcBorders>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1,356</w:t>
            </w:r>
          </w:p>
        </w:tc>
        <w:tc>
          <w:tcPr>
            <w:tcW w:w="80" w:type="dxa"/>
            <w:vAlign w:val="bottom"/>
            <w:tcBorders>
              <w:bottom w:val="single" w:sz="8" w:color="231F20"/>
            </w:tcBorders>
            <w:shd w:val="clear" w:color="auto" w:fill="E6E7E8"/>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-6848475</wp:posOffset>
            </wp:positionV>
            <wp:extent cx="284734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2847340" cy="381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Consolidated Financial Statements.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800"/>
          </w:cols>
          <w:pgMar w:left="540" w:top="746" w:right="540" w:bottom="0" w:gutter="0" w:footer="0" w:header="0"/>
          <w:type w:val="continuous"/>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360" w:lineRule="exact"/>
        <w:rPr>
          <w:sz w:val="20"/>
          <w:szCs w:val="20"/>
          <w:color w:val="auto"/>
        </w:rPr>
      </w:pPr>
    </w:p>
    <w:p>
      <w:pPr>
        <w:ind w:left="480" w:right="6560" w:hanging="480"/>
        <w:spacing w:after="0" w:line="367" w:lineRule="auto"/>
        <w:tabs>
          <w:tab w:leader="none" w:pos="351" w:val="left"/>
        </w:tabs>
        <w:numPr>
          <w:ilvl w:val="0"/>
          <w:numId w:val="2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Summary of Significant Accounting Policies: Basis of Presentation</w:t>
      </w:r>
    </w:p>
    <w:p>
      <w:pPr>
        <w:spacing w:after="0" w:line="1"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References in this Annual Report on Form 10-K to “we”, “our”, “Mastech Digital”, “Mastech” or “the Company” refer collectively to Mastech Digital, Inc. and its wholly-owned operating subsidiaries, which are included in these Consolidated Financial Statements (the “Financial Statements”).</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Description of Business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We are a provider of Digital Transformation IT Services to mostly large and medium-sized organizations.</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Our portfolio of offerings includes data management and analytics services; digital learning services; and IT staffing services.</w:t>
      </w:r>
    </w:p>
    <w:p>
      <w:pPr>
        <w:spacing w:after="0" w:line="24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With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Our IT staffing segment combines technical expertise with business process experience in a broad range of staffing services in digital and mainstream technologies, which can be delivered onshore as well as offshore.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Accounting Principles</w:t>
      </w:r>
    </w:p>
    <w:p>
      <w:pPr>
        <w:spacing w:after="0" w:line="12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231F20"/>
        </w:rPr>
        <w:t>The Company’s Consolidated Financial Statements have been prepared in accordance with accounting principles generally accepted in the United States of America (“GAAP”).</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Principles of Consolidation</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The Consolidated Financial Statements include the accounts of the Company and its wholly-owned subsidiaries. All material intercompany transactions and balances have been eliminated in consolidation.</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periods presented. Actual results could differ from these estimates.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Cash and Cash Equivalents</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Cash and cash equivalents are defined as cash and highly liquid debt investments with maturities of three months or less when purchased. Cash equivalents are stated at cost, which approximates market value.</w:t>
      </w:r>
    </w:p>
    <w:p>
      <w:pPr>
        <w:sectPr>
          <w:pgSz w:w="11880" w:h="15480" w:orient="portrait"/>
          <w:cols w:equalWidth="0" w:num="1">
            <w:col w:w="10740"/>
          </w:cols>
          <w:pgMar w:left="540" w:top="746"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740"/>
          </w:cols>
          <w:pgMar w:left="540" w:top="746" w:right="600" w:bottom="0" w:gutter="0" w:footer="0" w:header="0"/>
          <w:type w:val="continuous"/>
        </w:sectPr>
      </w:pPr>
    </w:p>
    <w:bookmarkStart w:id="59" w:name="page60"/>
    <w:bookmarkEnd w:id="59"/>
    <w:p>
      <w:pPr>
        <w:ind w:left="480"/>
        <w:spacing w:after="0"/>
        <w:rPr>
          <w:sz w:val="20"/>
          <w:szCs w:val="20"/>
          <w:color w:val="auto"/>
        </w:rPr>
      </w:pPr>
      <w:r>
        <w:rPr>
          <w:rFonts w:ascii="Times New Roman" w:cs="Times New Roman" w:eastAsia="Times New Roman" w:hAnsi="Times New Roman"/>
          <w:sz w:val="20"/>
          <w:szCs w:val="20"/>
          <w:b w:val="1"/>
          <w:bCs w:val="1"/>
          <w:color w:val="231F20"/>
        </w:rPr>
        <w:t>Accounts Receivable and Unbilled Receivables</w:t>
      </w:r>
    </w:p>
    <w:p>
      <w:pPr>
        <w:spacing w:after="0" w:line="124"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231F20"/>
        </w:rPr>
        <w:t>The Company extends credit to clients based upon management’s assessment of their creditworthiness. A substantial portion of the Company’s revenue, and the resulting accounts receivable, are from Fortune 1000 companies, major systems integrators and other staffing organizations. The Company does not generally charge interest on delinquent accounts receivable.</w:t>
      </w:r>
    </w:p>
    <w:p>
      <w:pPr>
        <w:spacing w:after="0" w:line="188"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Unbilled receivables represent amounts recognized as revenues based on services performed and, in accordance with the terms of the client contract, will be invoiced in a subsequent period.</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See Note 2 “Revenue from Contracts with Customers” for further details.</w:t>
      </w:r>
    </w:p>
    <w:p>
      <w:pPr>
        <w:spacing w:after="0" w:line="3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Allowance for Credit Losses</w:t>
      </w:r>
    </w:p>
    <w:p>
      <w:pPr>
        <w:spacing w:after="0" w:line="124" w:lineRule="exact"/>
        <w:rPr>
          <w:sz w:val="20"/>
          <w:szCs w:val="20"/>
          <w:color w:val="auto"/>
        </w:rPr>
      </w:pPr>
    </w:p>
    <w:p>
      <w:pPr>
        <w:jc w:val="both"/>
        <w:ind w:right="440" w:firstLine="490"/>
        <w:spacing w:after="0" w:line="258" w:lineRule="auto"/>
        <w:rPr>
          <w:sz w:val="20"/>
          <w:szCs w:val="20"/>
          <w:color w:val="auto"/>
        </w:rPr>
      </w:pPr>
      <w:r>
        <w:rPr>
          <w:rFonts w:ascii="Times New Roman" w:cs="Times New Roman" w:eastAsia="Times New Roman" w:hAnsi="Times New Roman"/>
          <w:sz w:val="20"/>
          <w:szCs w:val="20"/>
          <w:color w:val="231F20"/>
        </w:rPr>
        <w:t>Accounts receivable are reviewed periodically to determine the probability of loss. The Company records an allowance for credit losses when it is probable that the related receivable balance will not be collected based on historical collection experience, client-specific collection issues, and other matters the Company identifies in its collection monitoring.</w:t>
      </w:r>
    </w:p>
    <w:p>
      <w:pPr>
        <w:spacing w:after="0" w:line="188"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the beginning and ending amounts of allowance for credit losses for the three years ended December 31, 2025 is as follows:</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Balance at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231F20"/>
              </w:rPr>
              <w:t>Charged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231F20"/>
                <w:w w:val="99"/>
              </w:rPr>
              <w:t>Recoveries/</w:t>
            </w: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w w:val="99"/>
              </w:rPr>
              <w:t>Balance</w:t>
            </w:r>
          </w:p>
        </w:tc>
      </w:tr>
      <w:tr>
        <w:trPr>
          <w:trHeight w:val="18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beginning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231F20"/>
              </w:rPr>
              <w:t>to expense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231F20"/>
              </w:rPr>
              <w:t>(Write-</w:t>
            </w: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w w:val="99"/>
              </w:rPr>
              <w:t>at end</w:t>
            </w:r>
          </w:p>
        </w:tc>
      </w:tr>
      <w:tr>
        <w:trPr>
          <w:trHeight w:val="203"/>
        </w:trPr>
        <w:tc>
          <w:tcPr>
            <w:tcW w:w="49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231F20"/>
              </w:rPr>
              <w:t>of period</w:t>
            </w:r>
          </w:p>
        </w:tc>
        <w:tc>
          <w:tcPr>
            <w:tcW w:w="1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231F20"/>
              </w:rPr>
              <w:t>(credited)</w:t>
            </w:r>
          </w:p>
        </w:tc>
        <w:tc>
          <w:tcPr>
            <w:tcW w:w="1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231F20"/>
                <w:w w:val="99"/>
              </w:rPr>
              <w:t>offs)</w:t>
            </w:r>
          </w:p>
        </w:tc>
        <w:tc>
          <w:tcPr>
            <w:tcW w:w="1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of period</w:t>
            </w:r>
          </w:p>
        </w:tc>
      </w:tr>
      <w:tr>
        <w:trPr>
          <w:trHeight w:val="193"/>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940" w:type="dxa"/>
            <w:vAlign w:val="bottom"/>
          </w:tcPr>
          <w:p>
            <w:pPr>
              <w:spacing w:after="0"/>
              <w:rPr>
                <w:sz w:val="16"/>
                <w:szCs w:val="16"/>
                <w:color w:val="auto"/>
              </w:rPr>
            </w:pP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20"/>
                <w:szCs w:val="20"/>
                <w:color w:val="231F20"/>
              </w:rPr>
              <w:t>311</w:t>
            </w:r>
          </w:p>
        </w:tc>
        <w:tc>
          <w:tcPr>
            <w:tcW w:w="24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22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3"/>
            <w:shd w:val="clear" w:color="auto" w:fill="E6E7E8"/>
          </w:tcPr>
          <w:p>
            <w:pPr>
              <w:ind w:left="720"/>
              <w:spacing w:after="0"/>
              <w:rPr>
                <w:sz w:val="20"/>
                <w:szCs w:val="20"/>
                <w:color w:val="auto"/>
              </w:rPr>
            </w:pPr>
            <w:r>
              <w:rPr>
                <w:rFonts w:ascii="Times New Roman" w:cs="Times New Roman" w:eastAsia="Times New Roman" w:hAnsi="Times New Roman"/>
                <w:sz w:val="20"/>
                <w:szCs w:val="20"/>
                <w:color w:val="231F20"/>
              </w:rPr>
              <w:t>—  $</w:t>
            </w: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275</w:t>
            </w: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528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w:t>
            </w: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Year ended December 31, 2023</w:t>
            </w:r>
          </w:p>
        </w:tc>
        <w:tc>
          <w:tcPr>
            <w:tcW w:w="120" w:type="dxa"/>
            <w:vAlign w:val="bottom"/>
            <w:shd w:val="clear" w:color="auto" w:fill="E6E7E8"/>
          </w:tcPr>
          <w:p>
            <w:pPr>
              <w:spacing w:after="0"/>
              <w:rPr>
                <w:sz w:val="21"/>
                <w:szCs w:val="21"/>
                <w:color w:val="auto"/>
              </w:rPr>
            </w:pPr>
          </w:p>
        </w:tc>
        <w:tc>
          <w:tcPr>
            <w:tcW w:w="10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20"/>
                <w:szCs w:val="20"/>
                <w:color w:val="231F20"/>
              </w:rPr>
              <w:t>444</w:t>
            </w:r>
          </w:p>
        </w:tc>
        <w:tc>
          <w:tcPr>
            <w:tcW w:w="12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10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02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20"/>
                <w:szCs w:val="20"/>
                <w:color w:val="231F20"/>
              </w:rPr>
              <w:t>114</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528</w:t>
            </w:r>
          </w:p>
        </w:tc>
      </w:tr>
    </w:tbl>
    <w:p>
      <w:pPr>
        <w:spacing w:after="0" w:line="3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Equipment, Enterprise Software and Leasehold Improvements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Equipment, enterprise software and leasehold improvements are stated at historical cost. The Company provides for depreciation using the straight-line method over the estimated useful lives of the assets. Leasehold improvements are amortized over the shorter of (a) the remaining term of the lease or (b) the estimated useful life of the improvements. Repairs and maintenance, which do not extend the useful life of the respective assets, are charged to expense as incurred. Upon disposal, assets and related accumulated depreciation are removed from the Company’s accounts and the resulting gains or losses are reflected in the Company’s Consolidated Statement of Operations.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estimated useful lives of depreciable assets are primarily as follows:</w:t>
      </w:r>
    </w:p>
    <w:p>
      <w:pPr>
        <w:spacing w:after="0" w:line="296" w:lineRule="exact"/>
        <w:rPr>
          <w:sz w:val="20"/>
          <w:szCs w:val="20"/>
          <w:color w:val="auto"/>
        </w:rPr>
      </w:pPr>
    </w:p>
    <w:tbl>
      <w:tblPr>
        <w:tblLayout w:type="fixed"/>
        <w:tblInd w:w="2160" w:type="dxa"/>
        <w:tblCellMar>
          <w:top w:w="0" w:type="dxa"/>
          <w:left w:w="0" w:type="dxa"/>
          <w:bottom w:w="0" w:type="dxa"/>
          <w:right w:w="0" w:type="dxa"/>
        </w:tblCellMar>
      </w:tblPr>
      <w:tr>
        <w:trPr>
          <w:trHeight w:val="244"/>
        </w:trPr>
        <w:tc>
          <w:tcPr>
            <w:tcW w:w="36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Laptop Computers</w:t>
            </w:r>
          </w:p>
        </w:tc>
        <w:tc>
          <w:tcPr>
            <w:tcW w:w="2820" w:type="dxa"/>
            <w:vAlign w:val="bottom"/>
            <w:shd w:val="clear" w:color="auto" w:fill="E6E7E8"/>
          </w:tcPr>
          <w:p>
            <w:pPr>
              <w:ind w:left="2060"/>
              <w:spacing w:after="0"/>
              <w:rPr>
                <w:sz w:val="20"/>
                <w:szCs w:val="20"/>
                <w:color w:val="auto"/>
              </w:rPr>
            </w:pPr>
            <w:r>
              <w:rPr>
                <w:rFonts w:ascii="Times New Roman" w:cs="Times New Roman" w:eastAsia="Times New Roman" w:hAnsi="Times New Roman"/>
                <w:sz w:val="20"/>
                <w:szCs w:val="20"/>
                <w:color w:val="231F20"/>
              </w:rPr>
              <w:t>3-4 years</w:t>
            </w:r>
          </w:p>
        </w:tc>
      </w:tr>
      <w:tr>
        <w:trPr>
          <w:trHeight w:val="244"/>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231F20"/>
              </w:rPr>
              <w:t>Equipment</w:t>
            </w:r>
          </w:p>
        </w:tc>
        <w:tc>
          <w:tcPr>
            <w:tcW w:w="2820" w:type="dxa"/>
            <w:vAlign w:val="bottom"/>
          </w:tcPr>
          <w:p>
            <w:pPr>
              <w:ind w:left="2060"/>
              <w:spacing w:after="0"/>
              <w:rPr>
                <w:sz w:val="20"/>
                <w:szCs w:val="20"/>
                <w:color w:val="auto"/>
              </w:rPr>
            </w:pPr>
            <w:r>
              <w:rPr>
                <w:rFonts w:ascii="Times New Roman" w:cs="Times New Roman" w:eastAsia="Times New Roman" w:hAnsi="Times New Roman"/>
                <w:sz w:val="20"/>
                <w:szCs w:val="20"/>
                <w:color w:val="231F20"/>
              </w:rPr>
              <w:t>3-5 years</w:t>
            </w:r>
          </w:p>
        </w:tc>
      </w:tr>
      <w:tr>
        <w:trPr>
          <w:trHeight w:val="244"/>
        </w:trPr>
        <w:tc>
          <w:tcPr>
            <w:tcW w:w="36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Enterprise Software</w:t>
            </w:r>
          </w:p>
        </w:tc>
        <w:tc>
          <w:tcPr>
            <w:tcW w:w="2820" w:type="dxa"/>
            <w:vAlign w:val="bottom"/>
            <w:shd w:val="clear" w:color="auto" w:fill="E6E7E8"/>
          </w:tcPr>
          <w:p>
            <w:pPr>
              <w:ind w:left="2060"/>
              <w:spacing w:after="0"/>
              <w:rPr>
                <w:sz w:val="20"/>
                <w:szCs w:val="20"/>
                <w:color w:val="auto"/>
              </w:rPr>
            </w:pPr>
            <w:r>
              <w:rPr>
                <w:rFonts w:ascii="Times New Roman" w:cs="Times New Roman" w:eastAsia="Times New Roman" w:hAnsi="Times New Roman"/>
                <w:sz w:val="20"/>
                <w:szCs w:val="20"/>
                <w:color w:val="231F20"/>
              </w:rPr>
              <w:t>3-5 years</w:t>
            </w:r>
          </w:p>
        </w:tc>
      </w:tr>
    </w:tbl>
    <w:p>
      <w:pPr>
        <w:spacing w:after="0" w:line="25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w:t>
      </w:r>
    </w:p>
    <w:p>
      <w:pPr>
        <w:spacing w:after="0" w:line="200"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31F20"/>
        </w:rPr>
        <w:t>Depreciation and amortization expense related to fixed assets totaled $772,000, $806,000 and $1,083,000 for the years ended December 31, 2025, 2024 and 2023, respectively.</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800"/>
          </w:cols>
          <w:pgMar w:left="540" w:top="746" w:right="540" w:bottom="0" w:gutter="0" w:footer="0" w:header="0"/>
          <w:type w:val="continuous"/>
        </w:sectPr>
      </w:pPr>
    </w:p>
    <w:bookmarkStart w:id="60" w:name="page61"/>
    <w:bookmarkEnd w:id="60"/>
    <w:p>
      <w:pPr>
        <w:ind w:left="480"/>
        <w:spacing w:after="0"/>
        <w:rPr>
          <w:sz w:val="20"/>
          <w:szCs w:val="20"/>
          <w:color w:val="auto"/>
        </w:rPr>
      </w:pPr>
      <w:r>
        <w:rPr>
          <w:rFonts w:ascii="Times New Roman" w:cs="Times New Roman" w:eastAsia="Times New Roman" w:hAnsi="Times New Roman"/>
          <w:sz w:val="20"/>
          <w:szCs w:val="20"/>
          <w:b w:val="1"/>
          <w:bCs w:val="1"/>
          <w:color w:val="231F20"/>
        </w:rPr>
        <w:t>Goodwill and Intangible Assets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Identifiable intangible assets are recorded at fair value as of the closing date when acquired in a business combination. Identifiable intangible assets related to acquisitions consisted of client relationships, covenants not-to-compete, trade names and technology, which are being amortized using the straight-line method over their estimated useful lives ranging from three years to twelve years, as more fully described in Note 3 “Goodwill and Other Intangible Assets, net” to the Notes to the Consolidated Financial Statements.</w:t>
      </w:r>
    </w:p>
    <w:p>
      <w:pPr>
        <w:spacing w:after="0" w:line="197"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Excess purchase price over the fair value of net tangible assets and identifiable intangible assets acquired are recorded as goodwill. Goodwill is not amortized but is tested for impairment at least on an annual basis. If impairment is indicated, a write-down to fair value is recorded based on the excess of the carrying value of the reporting unit over its fair market value.</w:t>
      </w:r>
    </w:p>
    <w:p>
      <w:pPr>
        <w:spacing w:after="0" w:line="188" w:lineRule="exact"/>
        <w:rPr>
          <w:sz w:val="20"/>
          <w:szCs w:val="20"/>
          <w:color w:val="auto"/>
        </w:rPr>
      </w:pPr>
    </w:p>
    <w:p>
      <w:pPr>
        <w:jc w:val="both"/>
        <w:ind w:right="60" w:firstLine="490"/>
        <w:spacing w:after="0" w:line="233" w:lineRule="auto"/>
        <w:rPr>
          <w:sz w:val="20"/>
          <w:szCs w:val="20"/>
          <w:color w:val="auto"/>
        </w:rPr>
      </w:pPr>
      <w:r>
        <w:rPr>
          <w:rFonts w:ascii="Times New Roman" w:cs="Times New Roman" w:eastAsia="Times New Roman" w:hAnsi="Times New Roman"/>
          <w:sz w:val="20"/>
          <w:szCs w:val="20"/>
          <w:color w:val="231F20"/>
        </w:rPr>
        <w:t>We review goodwill and intangible assets for impairment annually as of October 1</w:t>
      </w:r>
      <w:r>
        <w:rPr>
          <w:rFonts w:ascii="Times New Roman" w:cs="Times New Roman" w:eastAsia="Times New Roman" w:hAnsi="Times New Roman"/>
          <w:sz w:val="26"/>
          <w:szCs w:val="26"/>
          <w:color w:val="231F20"/>
          <w:vertAlign w:val="superscript"/>
        </w:rPr>
        <w:t>st</w:t>
      </w:r>
      <w:r>
        <w:rPr>
          <w:rFonts w:ascii="Times New Roman" w:cs="Times New Roman" w:eastAsia="Times New Roman" w:hAnsi="Times New Roman"/>
          <w:sz w:val="20"/>
          <w:szCs w:val="20"/>
          <w:color w:val="231F20"/>
        </w:rPr>
        <w:t xml:space="preserve"> or more frequently if events or changes in circumstances indicate that the carrying value of the assets may not be recoverable. The impairment test is performed at the reporting unit level. Determination of recoverability is based on the lowest level of identifiable estimated future discounted cash flows resulting from use of the assets and their eventual disposition. Measurement of any impairment loss is based on the excess carrying value of the reporting unit over their fair market value.</w:t>
      </w:r>
    </w:p>
    <w:p>
      <w:pPr>
        <w:spacing w:after="0" w:line="207"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231F20"/>
        </w:rPr>
        <w:t>In conducting our annual impairment testing, we have the option to first assess qualitative factors to determine whether the existence of events or circumstances leads to a determination that it is more likely than not (more than 50%) that the estimated fair value of a reporting unit is less than its carrying amount. If not, no further goodwill impairment testing is required. If it is more likely than not that a reporting unit’s fair value is less than its carrying amount, we are then required to perform a quantitative impairment test. We also may elect not to perform the qualitative assessment, and instead, proceed directly to the quantitative impairment test.</w:t>
      </w:r>
    </w:p>
    <w:p>
      <w:pPr>
        <w:spacing w:after="0" w:line="18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In 2025, 2024 and 2023, we performed quantitative impairment tests related to our IT Staffing Services segment, which includes the June 2015 acquisition of Hudson Global Resources Management, Inc.’s U.S. IT staffing business (“Hudson IT”). The results of each of these testing’s indicated no impairment associated with the carrying amount of goodwill.</w:t>
      </w:r>
    </w:p>
    <w:p>
      <w:pPr>
        <w:spacing w:after="0" w:line="18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2025, 2024 and 2023, we performed quantitative impairment tests related to our Data and Analytics Services segment which includes the July 2017 acquisition of InfoTrellis and the October 2020 acquisition of AmberLeaf. The results of these 2025 and 2024 testing’s indicated no impairment associated with the carrying amount of goodwill. On October 1, 2023, our annual impairment testing date, we did not identify an impairment. However, due to a triggering event in the fourth quarter related to declining revenue trends and lower future revenue projections, our December 31, 2023 testing results indicated impairment associated with the carrying amount of goodwill of $5.3 million. Accordingly, this goodwill impairment charge is reflected in selling, general and administrative expenses in the Company’s Consolidated Statements of Operations in Item 8, herein.</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Business Combinations</w:t>
      </w:r>
    </w:p>
    <w:p>
      <w:pPr>
        <w:spacing w:after="0" w:line="12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31F20"/>
        </w:rPr>
        <w:t xml:space="preserve">The Company accounts for acquisitions in accordance with guidance found in ASC 805, </w:t>
      </w:r>
      <w:r>
        <w:rPr>
          <w:rFonts w:ascii="Times New Roman" w:cs="Times New Roman" w:eastAsia="Times New Roman" w:hAnsi="Times New Roman"/>
          <w:sz w:val="20"/>
          <w:szCs w:val="20"/>
          <w:i w:val="1"/>
          <w:iCs w:val="1"/>
          <w:color w:val="231F20"/>
        </w:rPr>
        <w:t>Business Combinations</w:t>
      </w:r>
      <w:r>
        <w:rPr>
          <w:rFonts w:ascii="Times New Roman" w:cs="Times New Roman" w:eastAsia="Times New Roman" w:hAnsi="Times New Roman"/>
          <w:sz w:val="20"/>
          <w:szCs w:val="20"/>
          <w:color w:val="231F20"/>
        </w:rPr>
        <w:t xml:space="preserve"> (“ASC 805”). This guidance requires consideration given (including contingent consideration), assets acquired and liabilities assumed to be valued at their fair market values at the acquisition date. The guidance further provides that: (1) in-process research and development will be recorded at fair value as an indefinite-lived intangible asset; (2) acquisition-related transaction costs will generally be expensed as incurred; (3) restructuring costs associated with a business combination will generally be expensed subsequent to the acquisition date; and (4) changes in deferred tax asset valuation allowances and income tax uncertainties after the acquisition date generally will effect income tax expense.</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ASC 805 requires that any excess purchase price over fair value of assets acquired (including identifiable intangibles) and liabilities assumed be recognized as goodwill. Additionally, any excess fair value of acquired net assets over acquisition consideration results in a bargain purchase gain. Prior to recording a gain, the acquiring entity must reassess whether all acquired assets and assumed liabilities have been identified and must perform re-measurements to verify that the consideration paid, assets acquired and liabilities assumed have all been properly valued.</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Leases</w:t>
      </w:r>
    </w:p>
    <w:p>
      <w:pPr>
        <w:spacing w:after="0" w:line="12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31F20"/>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w:t>
      </w:r>
    </w:p>
    <w:p>
      <w:pPr>
        <w:sectPr>
          <w:pgSz w:w="11880" w:h="15480" w:orient="portrait"/>
          <w:cols w:equalWidth="0" w:num="1">
            <w:col w:w="10800"/>
          </w:cols>
          <w:pgMar w:left="540" w:top="746" w:right="54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800"/>
          </w:cols>
          <w:pgMar w:left="540" w:top="746" w:right="540" w:bottom="0" w:gutter="0" w:footer="0" w:header="0"/>
          <w:type w:val="continuous"/>
        </w:sectPr>
      </w:pPr>
    </w:p>
    <w:bookmarkStart w:id="61" w:name="page62"/>
    <w:bookmarkEnd w:id="61"/>
    <w:p>
      <w:pPr>
        <w:ind w:right="320"/>
        <w:spacing w:after="0" w:line="258" w:lineRule="auto"/>
        <w:rPr>
          <w:sz w:val="20"/>
          <w:szCs w:val="20"/>
          <w:color w:val="auto"/>
        </w:rPr>
      </w:pPr>
      <w:r>
        <w:rPr>
          <w:rFonts w:ascii="Times New Roman" w:cs="Times New Roman" w:eastAsia="Times New Roman" w:hAnsi="Times New Roman"/>
          <w:sz w:val="20"/>
          <w:szCs w:val="20"/>
          <w:color w:val="231F20"/>
        </w:rPr>
        <w:t>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Income Taxes</w:t>
      </w:r>
    </w:p>
    <w:p>
      <w:pPr>
        <w:spacing w:after="0" w:line="12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The Company records an estimated liability for income and other taxes based on what management determines will likely be paid in the various tax jurisdictions in which we operate. Management uses its best judgment in the determination of these amounts. However, the liabilities 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amount recorded.</w:t>
      </w:r>
    </w:p>
    <w:p>
      <w:pPr>
        <w:spacing w:after="0" w:line="20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Management determines the Company’s income tax provision using the asset and liability method. Under this method, deferred income taxes are provided for the temporary differences between the financial reporting basis and the tax basis of the Company’s assets and liabilities. The Company measures deferred tax assets and liabilities using enacted tax rates in effect for the year in which we expect to recover or settle the temporary differences. The effect of a change in tax rates on deferred taxes is recognized in the period that the change is enacted. The Company evaluates its deferred tax assets and records a valuation allowance when, in management’s opinion, it is more likely than not that some portion or all of the deferred tax assets will not be realized. As of December 31, 2025, 2024 and 2023, the Company provided a valuation allowance of $435,000, $452,000 and $628,000, respectively, related to the uncertainty of the realization of foreign net operating losses (“NOL”).</w:t>
      </w:r>
    </w:p>
    <w:p>
      <w:pPr>
        <w:spacing w:after="0" w:line="20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Tax Cuts and Jobs Act of 2017 (“TCJA”) created a new requirement that certain income earned by foreign subsidiaries, known as global intangible low-tax income (“GILTI”), must be included in the gross income of their U.S. shareholder. The FASB allows an accounting policy election of either recognizing deferred taxes for temporary differences expected to reverse as GILTI in future years or recognizing such taxes as a current-period expense when incurred. We have elected to treat the tax effect of GILTI as a current-period expense as incurred.</w:t>
      </w:r>
    </w:p>
    <w:p>
      <w:pPr>
        <w:spacing w:after="0" w:line="197" w:lineRule="exact"/>
        <w:rPr>
          <w:sz w:val="20"/>
          <w:szCs w:val="20"/>
          <w:color w:val="auto"/>
        </w:rPr>
      </w:pPr>
    </w:p>
    <w:p>
      <w:pPr>
        <w:jc w:val="both"/>
        <w:ind w:right="420" w:firstLine="490"/>
        <w:spacing w:after="0" w:line="252" w:lineRule="auto"/>
        <w:rPr>
          <w:sz w:val="20"/>
          <w:szCs w:val="20"/>
          <w:color w:val="auto"/>
        </w:rPr>
      </w:pPr>
      <w:r>
        <w:rPr>
          <w:rFonts w:ascii="Times New Roman" w:cs="Times New Roman" w:eastAsia="Times New Roman" w:hAnsi="Times New Roman"/>
          <w:sz w:val="20"/>
          <w:szCs w:val="20"/>
          <w:color w:val="231F20"/>
        </w:rPr>
        <w:t>The Company accounts for uncertain tax positions in accordance with ASC Topic 740-10, “</w:t>
      </w:r>
      <w:r>
        <w:rPr>
          <w:rFonts w:ascii="Times New Roman" w:cs="Times New Roman" w:eastAsia="Times New Roman" w:hAnsi="Times New Roman"/>
          <w:sz w:val="20"/>
          <w:szCs w:val="20"/>
          <w:i w:val="1"/>
          <w:iCs w:val="1"/>
          <w:color w:val="231F20"/>
        </w:rPr>
        <w:t>Accounting for Uncertainty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The Company recognizes the effect of income tax positions only if those positions are more likely than not to be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sustained under audit. As of December 31, 2025 and 2024, there were no uncertain tax positions for which a reserve or liability is necessary.</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Deferred Financing Costs</w:t>
      </w:r>
    </w:p>
    <w:p>
      <w:pPr>
        <w:spacing w:after="0" w:line="12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The Company capitalizes expenses directly related to securing and amending its credit facilities. These deferred costs are amortized as interest expense over the term of the underlying credit facilities. Unamortized deferred financing costs are shown as a non-current asset in the Consolidated Balance Sheets.</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Segment Reporting</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The Company has two reportable segments, in accordance with ASC Topic 280 “Disclosures About Segments of an Enterprise and Related Information”: Data and Analytics and IT Staffing Services.</w:t>
      </w:r>
    </w:p>
    <w:p>
      <w:pPr>
        <w:spacing w:after="0" w:line="16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Company's President and Chief Executive Officer ("CEO") regularly reviews financial information by reporting segment to make operating decisions. Significant financial metrics that are regularly reviewed for each reportable business segment include revenues, gross margin percent, operating income and segment expenses which are classified as selling &amp; marketing, operations, and general &amp; administrative. Other segment items that are not allocated to a reportable business segment include amortization, interest income/expense, foreign exchange gains/losses, severance, litigation settlements and other infrequent income/expense items.</w:t>
      </w:r>
    </w:p>
    <w:p>
      <w:pPr>
        <w:spacing w:after="0" w:line="19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Monthly revenue amounts by reportable business segment are reviewed by the CEO to evaluate when additional investments are needed. In addition, gross margin percent is used to evaluate operating efficiency which largely determines resource allocations for billable consultant hiring decisions. Finally, segment operating income is used to assess overall performance by each business segment.</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780"/>
          </w:cols>
          <w:pgMar w:left="540" w:top="750" w:right="560" w:bottom="0" w:gutter="0" w:footer="0" w:header="0"/>
          <w:type w:val="continuous"/>
        </w:sectPr>
      </w:pPr>
    </w:p>
    <w:bookmarkStart w:id="62" w:name="page63"/>
    <w:bookmarkEnd w:id="62"/>
    <w:p>
      <w:pPr>
        <w:ind w:left="480"/>
        <w:spacing w:after="0"/>
        <w:rPr>
          <w:sz w:val="20"/>
          <w:szCs w:val="20"/>
          <w:color w:val="auto"/>
        </w:rPr>
      </w:pPr>
      <w:r>
        <w:rPr>
          <w:rFonts w:ascii="Times New Roman" w:cs="Times New Roman" w:eastAsia="Times New Roman" w:hAnsi="Times New Roman"/>
          <w:sz w:val="20"/>
          <w:szCs w:val="20"/>
          <w:b w:val="1"/>
          <w:bCs w:val="1"/>
          <w:color w:val="231F20"/>
        </w:rPr>
        <w:t>Revenue Recognition</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recognizes revenue on time-and-material contracts over time as services are performed and expenses are incurred. Time-and-material contracts typically bill at an agreed 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Incurred cost represents work performed, which corresponds with, and thereby best depicts, the transfer of control to the client.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206"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The Company’s time-and-material and fixed price revenue streams are recognized over time as the customer receives and consumes the benefits of the Company’s performance as the work is performed.</w:t>
      </w:r>
    </w:p>
    <w:p>
      <w:pPr>
        <w:spacing w:after="0" w:line="169"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Stock-Based Compensation</w:t>
      </w:r>
    </w:p>
    <w:p>
      <w:pPr>
        <w:spacing w:after="0" w:line="12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31F20"/>
        </w:rPr>
        <w:t>In 2008, the Company adopted a Stock Incentive Plan. This stock incentive plan was amended and restated effective as of May 14, 2024 and further amended on May 14, 2025 (as amended and restated to date, the “Plan”). The Plan provides that up to 6,200,000 shares of the Company's common stock shall be allocated for issuance to directors, officers, employees and consultants of the Company. Grants under the Plan can be made in the form of stock options, stock appreciation rights, performance share awards, restricted stock awards or stock awards. The Plan is administered by the Compensation Committee of the Board of Directors. Stock options are granted at an exercise price equal to the closing share price of the Company’s common stock at the grant date and generally vest over a three to five-year period.</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2018, the Company adopted the Mastech Digital, Inc. 2019 Employee Stock Purchase Plan (the “Stock Purchase Plan”). The Stock Purchase Plan is intended to meet the requirements of Section 423 of the Code and required the approval of the Company’s shareholders to be qualified under Section 423 of the Code. In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20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Company Guide Rule 711 and provided for grants of non-qualified stock options, restricted stock awards, stock awards, performance share awards and other stock-based awards (each, an “Inducement Award”). Effective May 14, 2025, the 2024 Inducement Stock Incentive Plan was terminated, 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20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The Company accounts for stock-based compensation expense in accordance with ASC Topic 718 “</w:t>
      </w:r>
      <w:r>
        <w:rPr>
          <w:rFonts w:ascii="Times New Roman" w:cs="Times New Roman" w:eastAsia="Times New Roman" w:hAnsi="Times New Roman"/>
          <w:sz w:val="20"/>
          <w:szCs w:val="20"/>
          <w:i w:val="1"/>
          <w:iCs w:val="1"/>
          <w:color w:val="231F20"/>
        </w:rPr>
        <w:t>Share-based Payments</w:t>
      </w:r>
      <w:r>
        <w:rPr>
          <w:rFonts w:ascii="Times New Roman" w:cs="Times New Roman" w:eastAsia="Times New Roman" w:hAnsi="Times New Roman"/>
          <w:sz w:val="20"/>
          <w:szCs w:val="20"/>
          <w:color w:val="231F20"/>
        </w:rPr>
        <w:t>” which requires us to measure all share-based payments based on their estimated fair value and recognize compensation expense over the requisite service period. The fair value of our stock options and shares issued under the Company’s Stock Purchase Plan is determined at the date of grant using the Black-Scholes option pricing model.</w:t>
      </w:r>
    </w:p>
    <w:p>
      <w:pPr>
        <w:sectPr>
          <w:pgSz w:w="11880" w:h="15480" w:orient="portrait"/>
          <w:cols w:equalWidth="0" w:num="1">
            <w:col w:w="10800"/>
          </w:cols>
          <w:pgMar w:left="540" w:top="746" w:right="54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800"/>
          </w:cols>
          <w:pgMar w:left="540" w:top="746" w:right="540" w:bottom="0" w:gutter="0" w:footer="0" w:header="0"/>
          <w:type w:val="continuous"/>
        </w:sectPr>
      </w:pPr>
    </w:p>
    <w:bookmarkStart w:id="63" w:name="page64"/>
    <w:bookmarkEnd w:id="63"/>
    <w:p>
      <w:pPr>
        <w:ind w:left="480"/>
        <w:spacing w:after="0"/>
        <w:rPr>
          <w:sz w:val="20"/>
          <w:szCs w:val="20"/>
          <w:color w:val="auto"/>
        </w:rPr>
      </w:pPr>
      <w:r>
        <w:rPr>
          <w:rFonts w:ascii="Times New Roman" w:cs="Times New Roman" w:eastAsia="Times New Roman" w:hAnsi="Times New Roman"/>
          <w:sz w:val="20"/>
          <w:szCs w:val="20"/>
          <w:b w:val="1"/>
          <w:bCs w:val="1"/>
          <w:color w:val="231F20"/>
        </w:rPr>
        <w:t>Treasury Stock</w:t>
      </w:r>
    </w:p>
    <w:p>
      <w:pPr>
        <w:spacing w:after="0" w:line="12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On February 8, 2023, the Company announced that the Board of Directors authorized a share repurchase program of up to 500,000 shares of the Company’s common stock over a two-year period. On February 19, 2025, the Company announced that the Board of Directors had authorized an extension of its previously announced share repurchase program for an additional year through February 8, 2026. Repurchases under the program could occur from time to time in the open market, through privately negotiated transactions, through block purchases or other purchase techniques, or by any combination of such methods. During 2025, the Company repurchased 299,523 shares of common stock at an average price of $7.49 per share under this program. During 2024, the Company repurchased 9,222 shares of common stock at an average price of $8.70 per share under this program. On February 8, 2026, this share repurchase program expired by its terms.</w:t>
      </w:r>
    </w:p>
    <w:p>
      <w:pPr>
        <w:spacing w:after="0" w:line="20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77"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Additionally, the Company makes stock purchases from time to time to satisfy employee tax obligations related to its Stock Incentive Plan. During 2025 and 2024, the Company did not purchase any shares to satisfy such employee tax obligations.</w:t>
      </w:r>
    </w:p>
    <w:p>
      <w:pPr>
        <w:spacing w:after="0" w:line="169" w:lineRule="exact"/>
        <w:rPr>
          <w:sz w:val="20"/>
          <w:szCs w:val="20"/>
          <w:color w:val="auto"/>
        </w:rPr>
      </w:pPr>
    </w:p>
    <w:p>
      <w:pPr>
        <w:ind w:right="800" w:firstLine="490"/>
        <w:spacing w:after="0" w:line="277" w:lineRule="auto"/>
        <w:rPr>
          <w:sz w:val="20"/>
          <w:szCs w:val="20"/>
          <w:color w:val="auto"/>
        </w:rPr>
      </w:pPr>
      <w:r>
        <w:rPr>
          <w:rFonts w:ascii="Times New Roman" w:cs="Times New Roman" w:eastAsia="Times New Roman" w:hAnsi="Times New Roman"/>
          <w:sz w:val="20"/>
          <w:szCs w:val="20"/>
          <w:color w:val="231F20"/>
        </w:rPr>
        <w:t>At December 31, 2025, the Company held 2.0 million shares in its treasury at a cost of approximately $7.1 million. At December 31, 2024, the Company held 1.7 million shares in its treasury at a cost of approximately $4.8 million.</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Comprehensive Income (Loss)</w:t>
      </w:r>
    </w:p>
    <w:p>
      <w:pPr>
        <w:spacing w:after="0" w:line="124"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31F20"/>
        </w:rPr>
        <w:t>Comprehensive income (loss) as presented in the Consolidated Statements of Comprehensive Income (Loss) consists of net income (loss) and foreign currency translation adjustments.</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Foreign Currency Translation</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The reporting currency of the Company and its subsidiaries is the U.S. dollar. The functional currency of the Company’s subsidiary in Canada is the U.S. dollar because the majority of its revenue is denominated in U.S. dollars. The functional currency of the Company’s Indian and European subsidiaries is their local currency.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Foreign exchange gains and losses were not material in 2025, 2024 and 2023.</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Earnings (Loss) Per Share</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Basic earnings (loss) per share are computed using the weighted-average number of common shares outstanding during the period. Diluted earnings (loss) per share are computed using the weighted-average number of common shares outstanding during the period, plus the incremental shares outstanding assuming the exercise of dilutive stock options and the vesting of restricted shares and performance shares, calculated using the treasury stock method. For the year ended December 31, 2025, all stock options and restricted shares were anti-dilutive and excluded from the computation of diluted (loss) per share due to the net loss.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31F20"/>
        </w:rPr>
        <w:t>Recently Issued Accounting Standards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Recently Adopted Accounting Pronouncements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In December 2023, the FASB issued ASU 2023-09, “Income Taxes (Topic 740): Improvements to Income Tax Disclosures”. The amendments in this ASU enhance the transparency and usefulness of income tax disclosures. Additional disclosures include specific rate reconciliation categories; additional disclosure for reconciling items that meet a quantitative threshold; and federal, state and foreign income taxes paid by individual jurisdiction. The amendments in this ASU are effective for annual periods beginning after December 15, 2024. Early adoption is permitted. The Company adopted this ASU on January 1, 2025 which resulted in expanded disclosures as reflected in Note 11.</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760"/>
          </w:cols>
          <w:pgMar w:left="540" w:top="746" w:right="580" w:bottom="0" w:gutter="0" w:footer="0" w:header="0"/>
          <w:type w:val="continuous"/>
        </w:sectPr>
      </w:pPr>
    </w:p>
    <w:bookmarkStart w:id="64" w:name="page65"/>
    <w:bookmarkEnd w:id="64"/>
    <w:p>
      <w:pPr>
        <w:ind w:left="480"/>
        <w:spacing w:after="0"/>
        <w:rPr>
          <w:sz w:val="20"/>
          <w:szCs w:val="20"/>
          <w:color w:val="auto"/>
        </w:rPr>
      </w:pPr>
      <w:r>
        <w:rPr>
          <w:rFonts w:ascii="Times New Roman" w:cs="Times New Roman" w:eastAsia="Times New Roman" w:hAnsi="Times New Roman"/>
          <w:sz w:val="20"/>
          <w:szCs w:val="20"/>
          <w:b w:val="1"/>
          <w:bCs w:val="1"/>
          <w:i w:val="1"/>
          <w:iCs w:val="1"/>
          <w:color w:val="231F20"/>
        </w:rPr>
        <w:t>Recent Accounting Pronouncements not yet adopted</w:t>
      </w:r>
    </w:p>
    <w:p>
      <w:pPr>
        <w:spacing w:after="0" w:line="24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w:t>
      </w:r>
    </w:p>
    <w:p>
      <w:pPr>
        <w:spacing w:after="0" w:line="20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July 2025, the FASB issued ASU 2025-05, “Financial Instruments—Credit Losses (Topic 326): Measurement of Credit Losses for Accounts Receivable and Contract Assets.” The amendments in this ASU introduce a practical expedient for all entities and provide entities other than public business entities with an accounting policy election when applying Topic 326 to current accounts receivable and contract assets arising from transactions under Topic 606, Revenue from Contracts with Customers. The practical expedient is intended to simplify the estimation of expected credit losses for short-term trade receivables and contract assets when such losses are expected to be immaterial. The amendments are effective for fiscal years beginning after December 15, 2025, including interim periods within those fiscal years. Early adoption is permitted. The Company is currently evaluating the impact of this ASU but does not expect it to have a material effect on its consolidated financial statements.</w:t>
      </w:r>
    </w:p>
    <w:p>
      <w:pPr>
        <w:spacing w:after="0" w:line="202" w:lineRule="exact"/>
        <w:rPr>
          <w:sz w:val="20"/>
          <w:szCs w:val="20"/>
          <w:color w:val="auto"/>
        </w:rPr>
      </w:pPr>
    </w:p>
    <w:p>
      <w:pPr>
        <w:ind w:right="760" w:firstLine="490"/>
        <w:spacing w:after="0" w:line="252" w:lineRule="auto"/>
        <w:rPr>
          <w:sz w:val="20"/>
          <w:szCs w:val="20"/>
          <w:color w:val="auto"/>
        </w:rPr>
      </w:pPr>
      <w:r>
        <w:rPr>
          <w:rFonts w:ascii="Times New Roman" w:cs="Times New Roman" w:eastAsia="Times New Roman" w:hAnsi="Times New Roman"/>
          <w:sz w:val="20"/>
          <w:szCs w:val="20"/>
          <w:color w:val="231F20"/>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10" w:lineRule="exact"/>
        <w:rPr>
          <w:sz w:val="20"/>
          <w:szCs w:val="20"/>
          <w:color w:val="auto"/>
        </w:rPr>
      </w:pPr>
    </w:p>
    <w:p>
      <w:pPr>
        <w:ind w:left="480" w:hanging="480"/>
        <w:spacing w:after="0"/>
        <w:tabs>
          <w:tab w:leader="none" w:pos="480" w:val="left"/>
        </w:tabs>
        <w:numPr>
          <w:ilvl w:val="0"/>
          <w:numId w:val="2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Revenue from Contracts with Customers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total revenues.</w:t>
      </w:r>
    </w:p>
    <w:p>
      <w:pPr>
        <w:spacing w:after="0" w:line="188"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31F20"/>
        </w:rPr>
        <w:t>The Company’s time-and-material and fixed price revenue streams are recognized over time as the customer receives and consumes the benefits of the Company’s performance as the work is performed.</w:t>
      </w:r>
    </w:p>
    <w:p>
      <w:pPr>
        <w:spacing w:after="0" w:line="169" w:lineRule="exact"/>
        <w:rPr>
          <w:sz w:val="20"/>
          <w:szCs w:val="20"/>
          <w:color w:val="auto"/>
        </w:rPr>
      </w:pPr>
    </w:p>
    <w:p>
      <w:pPr>
        <w:ind w:right="300" w:firstLine="495"/>
        <w:spacing w:after="0" w:line="277" w:lineRule="auto"/>
        <w:rPr>
          <w:sz w:val="20"/>
          <w:szCs w:val="20"/>
          <w:color w:val="auto"/>
        </w:rPr>
      </w:pPr>
      <w:r>
        <w:rPr>
          <w:rFonts w:ascii="Times New Roman" w:cs="Times New Roman" w:eastAsia="Times New Roman" w:hAnsi="Times New Roman"/>
          <w:sz w:val="20"/>
          <w:szCs w:val="20"/>
          <w:color w:val="231F20"/>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Company recognizes revenue on fixed price contracts over time as services are rendered and uses a cost-based input method to measure progress. Determining a measure of progress requires management to make judgments that affect the timing of revenue recognized.</w:t>
      </w:r>
    </w:p>
    <w:p>
      <w:pPr>
        <w:spacing w:after="0" w:line="18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selling, general and administrative expenses.</w:t>
      </w:r>
    </w:p>
    <w:p>
      <w:pPr>
        <w:spacing w:after="0" w:line="188"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the contract qualifies as a series, or the promised services are highly interrelated and interdependent and therefore represent a combined single performance obligation.</w:t>
      </w:r>
    </w:p>
    <w:p>
      <w:pPr>
        <w:spacing w:after="0" w:line="194" w:lineRule="exact"/>
        <w:rPr>
          <w:sz w:val="20"/>
          <w:szCs w:val="20"/>
          <w:color w:val="auto"/>
        </w:rPr>
      </w:pPr>
    </w:p>
    <w:p>
      <w:pPr>
        <w:jc w:val="both"/>
        <w:ind w:right="20" w:firstLine="490"/>
        <w:spacing w:after="0" w:line="278" w:lineRule="auto"/>
        <w:rPr>
          <w:sz w:val="20"/>
          <w:szCs w:val="20"/>
          <w:color w:val="auto"/>
        </w:rPr>
      </w:pPr>
      <w:r>
        <w:rPr>
          <w:rFonts w:ascii="Times New Roman" w:cs="Times New Roman" w:eastAsia="Times New Roman" w:hAnsi="Times New Roman"/>
          <w:sz w:val="19"/>
          <w:szCs w:val="19"/>
          <w:color w:val="231F20"/>
        </w:rPr>
        <w:t>Our Data and Analytics Services segment provides specialized capabilities in delivering data management and analytics services to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1" w:lineRule="exact"/>
        <w:rPr>
          <w:sz w:val="20"/>
          <w:szCs w:val="20"/>
          <w:color w:val="auto"/>
        </w:rPr>
      </w:pPr>
    </w:p>
    <w:p>
      <w:pPr>
        <w:jc w:val="both"/>
        <w:ind w:right="160" w:firstLine="490"/>
        <w:spacing w:after="0" w:line="265" w:lineRule="auto"/>
        <w:rPr>
          <w:sz w:val="20"/>
          <w:szCs w:val="20"/>
          <w:color w:val="auto"/>
        </w:rPr>
      </w:pPr>
      <w:r>
        <w:rPr>
          <w:rFonts w:ascii="Times New Roman" w:cs="Times New Roman" w:eastAsia="Times New Roman" w:hAnsi="Times New Roman"/>
          <w:sz w:val="19"/>
          <w:szCs w:val="19"/>
          <w:color w:val="231F20"/>
        </w:rPr>
        <w:t>Our IT staffing segment combines technical expertise with business process experience in a broad range of staffing services in digital and mainstream technologies, which can be delivered onshore as well as offshore.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IT-spend and recurring staffing needs. We also support smaller organizations with their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800"/>
          </w:cols>
          <w:pgMar w:left="540" w:top="750" w:right="540" w:bottom="0" w:gutter="0" w:footer="0" w:header="0"/>
          <w:type w:val="continuous"/>
        </w:sectPr>
      </w:pPr>
    </w:p>
    <w:bookmarkStart w:id="65" w:name="page66"/>
    <w:bookmarkEnd w:id="65"/>
    <w:p>
      <w:pPr>
        <w:ind w:right="80"/>
        <w:spacing w:after="0" w:line="277" w:lineRule="auto"/>
        <w:rPr>
          <w:sz w:val="20"/>
          <w:szCs w:val="20"/>
          <w:color w:val="auto"/>
        </w:rPr>
      </w:pPr>
      <w:r>
        <w:rPr>
          <w:rFonts w:ascii="Times New Roman" w:cs="Times New Roman" w:eastAsia="Times New Roman" w:hAnsi="Times New Roman"/>
          <w:sz w:val="20"/>
          <w:szCs w:val="20"/>
          <w:color w:val="231F20"/>
        </w:rPr>
        <w:t>“project focused” temporary IT staffing requirements. In late 2023, we expanded our service offerings to include engineering staffing services. Substantially all of our revenue is recognized over time.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depicts the disaggregation of our revenues by contract type and operating segment:</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6"/>
          </w:tcPr>
          <w:p>
            <w:pPr>
              <w:jc w:val="center"/>
              <w:ind w:left="526"/>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0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239"/>
        </w:trPr>
        <w:tc>
          <w:tcPr>
            <w:tcW w:w="2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28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4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231F20"/>
            </w:tcBorders>
          </w:tcPr>
          <w:p>
            <w:pPr>
              <w:spacing w:after="0"/>
              <w:rPr>
                <w:sz w:val="20"/>
                <w:szCs w:val="20"/>
                <w:color w:val="auto"/>
              </w:rPr>
            </w:pPr>
          </w:p>
        </w:tc>
      </w:tr>
      <w:tr>
        <w:trPr>
          <w:trHeight w:val="239"/>
        </w:trPr>
        <w:tc>
          <w:tcPr>
            <w:tcW w:w="2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center"/>
              <w:ind w:left="526"/>
              <w:spacing w:after="0"/>
              <w:rPr>
                <w:sz w:val="20"/>
                <w:szCs w:val="20"/>
                <w:color w:val="auto"/>
              </w:rPr>
            </w:pPr>
            <w:r>
              <w:rPr>
                <w:rFonts w:ascii="Times New Roman" w:cs="Times New Roman" w:eastAsia="Times New Roman" w:hAnsi="Times New Roman"/>
                <w:sz w:val="16"/>
                <w:szCs w:val="16"/>
                <w:b w:val="1"/>
                <w:bCs w:val="1"/>
                <w:color w:val="231F20"/>
                <w:w w:val="99"/>
              </w:rPr>
              <w:t>(Amounts in thousands)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00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Data and Analytics Services Segment</w:t>
            </w:r>
          </w:p>
        </w:tc>
        <w:tc>
          <w:tcPr>
            <w:tcW w:w="66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98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98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260" w:type="dxa"/>
            <w:vAlign w:val="bottom"/>
            <w:shd w:val="clear" w:color="auto" w:fill="E6E7E8"/>
          </w:tcPr>
          <w:p>
            <w:pPr>
              <w:spacing w:after="0"/>
              <w:rPr>
                <w:sz w:val="21"/>
                <w:szCs w:val="21"/>
                <w:color w:val="auto"/>
              </w:rPr>
            </w:pPr>
          </w:p>
        </w:tc>
        <w:tc>
          <w:tcPr>
            <w:tcW w:w="90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16"/>
        </w:trPr>
        <w:tc>
          <w:tcPr>
            <w:tcW w:w="3160" w:type="dxa"/>
            <w:vAlign w:val="bottom"/>
            <w:tcBorders>
              <w:top w:val="single" w:sz="8" w:color="231F20"/>
            </w:tcBorders>
            <w:gridSpan w:val="2"/>
          </w:tcPr>
          <w:p>
            <w:pPr>
              <w:spacing w:after="0" w:line="216" w:lineRule="exact"/>
              <w:rPr>
                <w:sz w:val="20"/>
                <w:szCs w:val="20"/>
                <w:color w:val="auto"/>
              </w:rPr>
            </w:pPr>
            <w:r>
              <w:rPr>
                <w:rFonts w:ascii="Times New Roman" w:cs="Times New Roman" w:eastAsia="Times New Roman" w:hAnsi="Times New Roman"/>
                <w:sz w:val="20"/>
                <w:szCs w:val="20"/>
                <w:color w:val="231F20"/>
              </w:rPr>
              <w:t>Time-and-material Contracts</w:t>
            </w:r>
          </w:p>
        </w:tc>
        <w:tc>
          <w:tcPr>
            <w:tcW w:w="840" w:type="dxa"/>
            <w:vAlign w:val="bottom"/>
            <w:tcBorders>
              <w:top w:val="single" w:sz="8" w:color="E6E7E8"/>
            </w:tcBorders>
          </w:tcPr>
          <w:p>
            <w:pPr>
              <w:spacing w:after="0"/>
              <w:rPr>
                <w:sz w:val="18"/>
                <w:szCs w:val="18"/>
                <w:color w:val="auto"/>
              </w:rPr>
            </w:pPr>
          </w:p>
        </w:tc>
        <w:tc>
          <w:tcPr>
            <w:tcW w:w="920" w:type="dxa"/>
            <w:vAlign w:val="bottom"/>
            <w:tcBorders>
              <w:top w:val="single" w:sz="8" w:color="E6E7E8"/>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E6E7E8"/>
            </w:tcBorders>
          </w:tcPr>
          <w:p>
            <w:pPr>
              <w:jc w:val="right"/>
              <w:ind w:right="6"/>
              <w:spacing w:after="0" w:line="216" w:lineRule="exact"/>
              <w:rPr>
                <w:sz w:val="20"/>
                <w:szCs w:val="20"/>
                <w:color w:val="auto"/>
              </w:rPr>
            </w:pPr>
            <w:r>
              <w:rPr>
                <w:rFonts w:ascii="Times New Roman" w:cs="Times New Roman" w:eastAsia="Times New Roman" w:hAnsi="Times New Roman"/>
                <w:sz w:val="20"/>
                <w:szCs w:val="20"/>
                <w:color w:val="231F20"/>
              </w:rPr>
              <w:t>28,521</w:t>
            </w:r>
          </w:p>
        </w:tc>
        <w:tc>
          <w:tcPr>
            <w:tcW w:w="400" w:type="dxa"/>
            <w:vAlign w:val="bottom"/>
            <w:tcBorders>
              <w:top w:val="single" w:sz="8" w:color="E6E7E8"/>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980" w:type="dxa"/>
            <w:vAlign w:val="bottom"/>
            <w:tcBorders>
              <w:top w:val="single" w:sz="8" w:color="E6E7E8"/>
            </w:tcBorders>
          </w:tcPr>
          <w:p>
            <w:pPr>
              <w:jc w:val="right"/>
              <w:ind w:right="3"/>
              <w:spacing w:after="0" w:line="216" w:lineRule="exact"/>
              <w:rPr>
                <w:sz w:val="20"/>
                <w:szCs w:val="20"/>
                <w:color w:val="auto"/>
              </w:rPr>
            </w:pPr>
            <w:r>
              <w:rPr>
                <w:rFonts w:ascii="Times New Roman" w:cs="Times New Roman" w:eastAsia="Times New Roman" w:hAnsi="Times New Roman"/>
                <w:sz w:val="20"/>
                <w:szCs w:val="20"/>
                <w:color w:val="231F20"/>
              </w:rPr>
              <w:t>24,485</w:t>
            </w:r>
          </w:p>
        </w:tc>
        <w:tc>
          <w:tcPr>
            <w:tcW w:w="400" w:type="dxa"/>
            <w:vAlign w:val="bottom"/>
            <w:tcBorders>
              <w:top w:val="single" w:sz="8" w:color="E6E7E8"/>
            </w:tcBorders>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rPr>
              <w:t>$</w:t>
            </w:r>
          </w:p>
        </w:tc>
        <w:tc>
          <w:tcPr>
            <w:tcW w:w="900" w:type="dxa"/>
            <w:vAlign w:val="bottom"/>
            <w:tcBorders>
              <w:top w:val="single" w:sz="8" w:color="E6E7E8"/>
            </w:tcBorders>
          </w:tcPr>
          <w:p>
            <w:pPr>
              <w:jc w:val="right"/>
              <w:spacing w:after="0" w:line="216" w:lineRule="exact"/>
              <w:rPr>
                <w:sz w:val="20"/>
                <w:szCs w:val="20"/>
                <w:color w:val="auto"/>
              </w:rPr>
            </w:pPr>
            <w:r>
              <w:rPr>
                <w:rFonts w:ascii="Times New Roman" w:cs="Times New Roman" w:eastAsia="Times New Roman" w:hAnsi="Times New Roman"/>
                <w:sz w:val="20"/>
                <w:szCs w:val="20"/>
                <w:color w:val="231F20"/>
              </w:rPr>
              <w:t>25,307</w:t>
            </w:r>
          </w:p>
        </w:tc>
        <w:tc>
          <w:tcPr>
            <w:tcW w:w="60" w:type="dxa"/>
            <w:vAlign w:val="bottom"/>
            <w:tcBorders>
              <w:top w:val="single" w:sz="8" w:color="E6E7E8"/>
            </w:tcBorders>
          </w:tcPr>
          <w:p>
            <w:pPr>
              <w:spacing w:after="0"/>
              <w:rPr>
                <w:sz w:val="18"/>
                <w:szCs w:val="18"/>
                <w:color w:val="auto"/>
              </w:rPr>
            </w:pPr>
          </w:p>
        </w:tc>
      </w:tr>
      <w:tr>
        <w:trPr>
          <w:trHeight w:val="264"/>
        </w:trPr>
        <w:tc>
          <w:tcPr>
            <w:tcW w:w="4000" w:type="dxa"/>
            <w:vAlign w:val="bottom"/>
            <w:tcBorders>
              <w:bottom w:val="single" w:sz="8" w:color="E6E7E8"/>
            </w:tcBorders>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Fixed-price Contracts</w:t>
            </w:r>
          </w:p>
        </w:tc>
        <w:tc>
          <w:tcPr>
            <w:tcW w:w="66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E6E7E8"/>
            </w:tcBorders>
            <w:shd w:val="clear" w:color="auto" w:fill="E6E7E8"/>
          </w:tcPr>
          <w:p>
            <w:pPr>
              <w:spacing w:after="0"/>
              <w:rPr>
                <w:sz w:val="22"/>
                <w:szCs w:val="22"/>
                <w:color w:val="auto"/>
              </w:rPr>
            </w:pPr>
          </w:p>
        </w:tc>
        <w:tc>
          <w:tcPr>
            <w:tcW w:w="980" w:type="dxa"/>
            <w:vAlign w:val="bottom"/>
            <w:tcBorders>
              <w:bottom w:val="single" w:sz="8" w:color="E6E7E8"/>
            </w:tcBorders>
            <w:shd w:val="clear" w:color="auto" w:fill="E6E7E8"/>
          </w:tcPr>
          <w:p>
            <w:pPr>
              <w:jc w:val="right"/>
              <w:ind w:right="6"/>
              <w:spacing w:after="0"/>
              <w:rPr>
                <w:sz w:val="20"/>
                <w:szCs w:val="20"/>
                <w:color w:val="auto"/>
              </w:rPr>
            </w:pPr>
            <w:r>
              <w:rPr>
                <w:rFonts w:ascii="Times New Roman" w:cs="Times New Roman" w:eastAsia="Times New Roman" w:hAnsi="Times New Roman"/>
                <w:sz w:val="20"/>
                <w:szCs w:val="20"/>
                <w:color w:val="231F20"/>
              </w:rPr>
              <w:t>4,754</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E6E7E8"/>
            </w:tcBorders>
            <w:shd w:val="clear" w:color="auto" w:fill="E6E7E8"/>
          </w:tcPr>
          <w:p>
            <w:pPr>
              <w:spacing w:after="0"/>
              <w:rPr>
                <w:sz w:val="22"/>
                <w:szCs w:val="22"/>
                <w:color w:val="auto"/>
              </w:rPr>
            </w:pPr>
          </w:p>
        </w:tc>
        <w:tc>
          <w:tcPr>
            <w:tcW w:w="980" w:type="dxa"/>
            <w:vAlign w:val="bottom"/>
            <w:tcBorders>
              <w:bottom w:val="single" w:sz="8" w:color="E6E7E8"/>
            </w:tcBorders>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12,140</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spacing w:after="0"/>
              <w:rPr>
                <w:sz w:val="22"/>
                <w:szCs w:val="22"/>
                <w:color w:val="auto"/>
              </w:rPr>
            </w:pPr>
          </w:p>
        </w:tc>
        <w:tc>
          <w:tcPr>
            <w:tcW w:w="9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9,051</w:t>
            </w:r>
          </w:p>
        </w:tc>
        <w:tc>
          <w:tcPr>
            <w:tcW w:w="60" w:type="dxa"/>
            <w:vAlign w:val="bottom"/>
            <w:tcBorders>
              <w:bottom w:val="single" w:sz="8" w:color="231F20"/>
            </w:tcBorders>
            <w:shd w:val="clear" w:color="auto" w:fill="E6E7E8"/>
          </w:tcPr>
          <w:p>
            <w:pPr>
              <w:spacing w:after="0"/>
              <w:rPr>
                <w:sz w:val="22"/>
                <w:szCs w:val="22"/>
                <w:color w:val="auto"/>
              </w:rPr>
            </w:pPr>
          </w:p>
        </w:tc>
      </w:tr>
      <w:tr>
        <w:trPr>
          <w:trHeight w:val="259"/>
        </w:trPr>
        <w:tc>
          <w:tcPr>
            <w:tcW w:w="4000" w:type="dxa"/>
            <w:vAlign w:val="bottom"/>
            <w:tcBorders>
              <w:bottom w:val="single" w:sz="8" w:color="E6E7E8"/>
            </w:tcBorders>
            <w:gridSpan w:val="3"/>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231F20"/>
              </w:rPr>
              <w:t>Subtotal Data and Analytics Services</w:t>
            </w:r>
          </w:p>
        </w:tc>
        <w:tc>
          <w:tcPr>
            <w:tcW w:w="660" w:type="dxa"/>
            <w:vAlign w:val="bottom"/>
            <w:tcBorders>
              <w:bottom w:val="single" w:sz="8" w:color="E6E7E8"/>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top w:val="single" w:sz="8" w:color="231F20"/>
              <w:bottom w:val="single" w:sz="8" w:color="231F20"/>
            </w:tcBorders>
          </w:tcPr>
          <w:p>
            <w:pPr>
              <w:jc w:val="right"/>
              <w:ind w:right="6"/>
              <w:spacing w:after="0" w:line="219" w:lineRule="exact"/>
              <w:rPr>
                <w:sz w:val="20"/>
                <w:szCs w:val="20"/>
                <w:color w:val="auto"/>
              </w:rPr>
            </w:pPr>
            <w:r>
              <w:rPr>
                <w:rFonts w:ascii="Times New Roman" w:cs="Times New Roman" w:eastAsia="Times New Roman" w:hAnsi="Times New Roman"/>
                <w:sz w:val="20"/>
                <w:szCs w:val="20"/>
                <w:b w:val="1"/>
                <w:bCs w:val="1"/>
                <w:color w:val="231F20"/>
              </w:rPr>
              <w:t>33,275</w:t>
            </w:r>
          </w:p>
        </w:tc>
        <w:tc>
          <w:tcPr>
            <w:tcW w:w="140" w:type="dxa"/>
            <w:vAlign w:val="bottom"/>
            <w:tcBorders>
              <w:bottom w:val="single" w:sz="8" w:color="E6E7E8"/>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top w:val="single" w:sz="8" w:color="231F20"/>
              <w:bottom w:val="single" w:sz="8" w:color="231F20"/>
            </w:tcBorders>
          </w:tcPr>
          <w:p>
            <w:pPr>
              <w:jc w:val="right"/>
              <w:ind w:right="3"/>
              <w:spacing w:after="0" w:line="219" w:lineRule="exact"/>
              <w:rPr>
                <w:sz w:val="20"/>
                <w:szCs w:val="20"/>
                <w:color w:val="auto"/>
              </w:rPr>
            </w:pPr>
            <w:r>
              <w:rPr>
                <w:rFonts w:ascii="Times New Roman" w:cs="Times New Roman" w:eastAsia="Times New Roman" w:hAnsi="Times New Roman"/>
                <w:sz w:val="20"/>
                <w:szCs w:val="20"/>
                <w:b w:val="1"/>
                <w:bCs w:val="1"/>
                <w:color w:val="231F20"/>
              </w:rPr>
              <w:t>36,625</w:t>
            </w:r>
          </w:p>
        </w:tc>
        <w:tc>
          <w:tcPr>
            <w:tcW w:w="140" w:type="dxa"/>
            <w:vAlign w:val="bottom"/>
            <w:tcBorders>
              <w:bottom w:val="single" w:sz="8" w:color="E6E7E8"/>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34,358</w:t>
            </w:r>
          </w:p>
        </w:tc>
        <w:tc>
          <w:tcPr>
            <w:tcW w:w="60" w:type="dxa"/>
            <w:vAlign w:val="bottom"/>
            <w:tcBorders>
              <w:top w:val="single" w:sz="8" w:color="231F20"/>
              <w:bottom w:val="single" w:sz="8" w:color="231F20"/>
            </w:tcBorders>
          </w:tcPr>
          <w:p>
            <w:pPr>
              <w:spacing w:after="0"/>
              <w:rPr>
                <w:sz w:val="22"/>
                <w:szCs w:val="22"/>
                <w:color w:val="auto"/>
              </w:rPr>
            </w:pPr>
          </w:p>
        </w:tc>
      </w:tr>
      <w:tr>
        <w:trPr>
          <w:trHeight w:val="237"/>
        </w:trPr>
        <w:tc>
          <w:tcPr>
            <w:tcW w:w="4000" w:type="dxa"/>
            <w:vAlign w:val="bottom"/>
            <w:gridSpan w:val="3"/>
            <w:shd w:val="clear" w:color="auto" w:fill="E6E7E8"/>
          </w:tcPr>
          <w:p>
            <w:pPr>
              <w:spacing w:after="0" w:line="217" w:lineRule="exact"/>
              <w:rPr>
                <w:sz w:val="20"/>
                <w:szCs w:val="20"/>
                <w:color w:val="auto"/>
              </w:rPr>
            </w:pPr>
            <w:r>
              <w:rPr>
                <w:rFonts w:ascii="Times New Roman" w:cs="Times New Roman" w:eastAsia="Times New Roman" w:hAnsi="Times New Roman"/>
                <w:sz w:val="20"/>
                <w:szCs w:val="20"/>
                <w:b w:val="1"/>
                <w:bCs w:val="1"/>
                <w:color w:val="231F20"/>
              </w:rPr>
              <w:t>IT Staffing Services Segment</w:t>
            </w:r>
          </w:p>
        </w:tc>
        <w:tc>
          <w:tcPr>
            <w:tcW w:w="66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spacing w:after="0"/>
              <w:rPr>
                <w:sz w:val="20"/>
                <w:szCs w:val="20"/>
                <w:color w:val="auto"/>
              </w:rPr>
            </w:pPr>
          </w:p>
        </w:tc>
        <w:tc>
          <w:tcPr>
            <w:tcW w:w="90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r>
      <w:tr>
        <w:trPr>
          <w:trHeight w:val="216"/>
        </w:trPr>
        <w:tc>
          <w:tcPr>
            <w:tcW w:w="2480" w:type="dxa"/>
            <w:vAlign w:val="bottom"/>
            <w:tcBorders>
              <w:top w:val="single" w:sz="8" w:color="231F20"/>
            </w:tcBorders>
          </w:tcPr>
          <w:p>
            <w:pPr>
              <w:spacing w:after="0" w:line="216" w:lineRule="exact"/>
              <w:rPr>
                <w:sz w:val="20"/>
                <w:szCs w:val="20"/>
                <w:color w:val="auto"/>
              </w:rPr>
            </w:pPr>
            <w:r>
              <w:rPr>
                <w:rFonts w:ascii="Times New Roman" w:cs="Times New Roman" w:eastAsia="Times New Roman" w:hAnsi="Times New Roman"/>
                <w:sz w:val="20"/>
                <w:szCs w:val="20"/>
                <w:color w:val="231F20"/>
              </w:rPr>
              <w:t>Time-and-material Contracts</w:t>
            </w:r>
          </w:p>
        </w:tc>
        <w:tc>
          <w:tcPr>
            <w:tcW w:w="1520" w:type="dxa"/>
            <w:vAlign w:val="bottom"/>
            <w:tcBorders>
              <w:top w:val="single" w:sz="8" w:color="E6E7E8"/>
            </w:tcBorders>
            <w:gridSpan w:val="2"/>
          </w:tcPr>
          <w:p>
            <w:pPr>
              <w:spacing w:after="0"/>
              <w:rPr>
                <w:sz w:val="18"/>
                <w:szCs w:val="18"/>
                <w:color w:val="auto"/>
              </w:rPr>
            </w:pPr>
          </w:p>
        </w:tc>
        <w:tc>
          <w:tcPr>
            <w:tcW w:w="660" w:type="dxa"/>
            <w:vAlign w:val="bottom"/>
            <w:tcBorders>
              <w:top w:val="single" w:sz="8" w:color="E6E7E8"/>
            </w:tcBorders>
          </w:tcPr>
          <w:p>
            <w:pPr>
              <w:spacing w:after="0"/>
              <w:rPr>
                <w:sz w:val="18"/>
                <w:szCs w:val="18"/>
                <w:color w:val="auto"/>
              </w:rPr>
            </w:pPr>
          </w:p>
        </w:tc>
        <w:tc>
          <w:tcPr>
            <w:tcW w:w="260" w:type="dxa"/>
            <w:vAlign w:val="bottom"/>
            <w:tcBorders>
              <w:top w:val="single" w:sz="8" w:color="E6E7E8"/>
            </w:tcBorders>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E6E7E8"/>
            </w:tcBorders>
          </w:tcPr>
          <w:p>
            <w:pPr>
              <w:jc w:val="right"/>
              <w:ind w:right="6"/>
              <w:spacing w:after="0" w:line="216" w:lineRule="exact"/>
              <w:rPr>
                <w:sz w:val="20"/>
                <w:szCs w:val="20"/>
                <w:color w:val="auto"/>
              </w:rPr>
            </w:pPr>
            <w:r>
              <w:rPr>
                <w:rFonts w:ascii="Times New Roman" w:cs="Times New Roman" w:eastAsia="Times New Roman" w:hAnsi="Times New Roman"/>
                <w:sz w:val="20"/>
                <w:szCs w:val="20"/>
                <w:color w:val="231F20"/>
              </w:rPr>
              <w:t>158,096</w:t>
            </w:r>
          </w:p>
        </w:tc>
        <w:tc>
          <w:tcPr>
            <w:tcW w:w="140" w:type="dxa"/>
            <w:vAlign w:val="bottom"/>
            <w:tcBorders>
              <w:top w:val="single" w:sz="8" w:color="E6E7E8"/>
            </w:tcBorders>
          </w:tcPr>
          <w:p>
            <w:pPr>
              <w:spacing w:after="0"/>
              <w:rPr>
                <w:sz w:val="18"/>
                <w:szCs w:val="18"/>
                <w:color w:val="auto"/>
              </w:rPr>
            </w:pPr>
          </w:p>
        </w:tc>
        <w:tc>
          <w:tcPr>
            <w:tcW w:w="260" w:type="dxa"/>
            <w:vAlign w:val="bottom"/>
            <w:tcBorders>
              <w:top w:val="single" w:sz="8" w:color="E6E7E8"/>
            </w:tcBorders>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E6E7E8"/>
            </w:tcBorders>
          </w:tcPr>
          <w:p>
            <w:pPr>
              <w:jc w:val="right"/>
              <w:ind w:right="3"/>
              <w:spacing w:after="0" w:line="216" w:lineRule="exact"/>
              <w:rPr>
                <w:sz w:val="20"/>
                <w:szCs w:val="20"/>
                <w:color w:val="auto"/>
              </w:rPr>
            </w:pPr>
            <w:r>
              <w:rPr>
                <w:rFonts w:ascii="Times New Roman" w:cs="Times New Roman" w:eastAsia="Times New Roman" w:hAnsi="Times New Roman"/>
                <w:sz w:val="20"/>
                <w:szCs w:val="20"/>
                <w:color w:val="231F20"/>
              </w:rPr>
              <w:t>162,182</w:t>
            </w:r>
          </w:p>
        </w:tc>
        <w:tc>
          <w:tcPr>
            <w:tcW w:w="140" w:type="dxa"/>
            <w:vAlign w:val="bottom"/>
            <w:tcBorders>
              <w:top w:val="single" w:sz="8" w:color="E6E7E8"/>
            </w:tcBorders>
          </w:tcPr>
          <w:p>
            <w:pPr>
              <w:spacing w:after="0"/>
              <w:rPr>
                <w:sz w:val="18"/>
                <w:szCs w:val="18"/>
                <w:color w:val="auto"/>
              </w:rPr>
            </w:pPr>
          </w:p>
        </w:tc>
        <w:tc>
          <w:tcPr>
            <w:tcW w:w="260" w:type="dxa"/>
            <w:vAlign w:val="bottom"/>
            <w:tcBorders>
              <w:top w:val="single" w:sz="8" w:color="E6E7E8"/>
            </w:tcBorders>
          </w:tcPr>
          <w:p>
            <w:pPr>
              <w:jc w:val="right"/>
              <w:ind w:right="60"/>
              <w:spacing w:after="0" w:line="216" w:lineRule="exact"/>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E6E7E8"/>
            </w:tcBorders>
          </w:tcPr>
          <w:p>
            <w:pPr>
              <w:jc w:val="right"/>
              <w:spacing w:after="0" w:line="216" w:lineRule="exact"/>
              <w:rPr>
                <w:sz w:val="20"/>
                <w:szCs w:val="20"/>
                <w:color w:val="auto"/>
              </w:rPr>
            </w:pPr>
            <w:r>
              <w:rPr>
                <w:rFonts w:ascii="Times New Roman" w:cs="Times New Roman" w:eastAsia="Times New Roman" w:hAnsi="Times New Roman"/>
                <w:sz w:val="20"/>
                <w:szCs w:val="20"/>
                <w:color w:val="231F20"/>
              </w:rPr>
              <w:t>166,740</w:t>
            </w:r>
          </w:p>
        </w:tc>
        <w:tc>
          <w:tcPr>
            <w:tcW w:w="60" w:type="dxa"/>
            <w:vAlign w:val="bottom"/>
            <w:tcBorders>
              <w:top w:val="single" w:sz="8" w:color="E6E7E8"/>
            </w:tcBorders>
          </w:tcPr>
          <w:p>
            <w:pPr>
              <w:spacing w:after="0"/>
              <w:rPr>
                <w:sz w:val="18"/>
                <w:szCs w:val="18"/>
                <w:color w:val="auto"/>
              </w:rPr>
            </w:pPr>
          </w:p>
        </w:tc>
      </w:tr>
      <w:tr>
        <w:trPr>
          <w:trHeight w:val="264"/>
        </w:trPr>
        <w:tc>
          <w:tcPr>
            <w:tcW w:w="4000" w:type="dxa"/>
            <w:vAlign w:val="bottom"/>
            <w:tcBorders>
              <w:bottom w:val="single" w:sz="8" w:color="E6E7E8"/>
            </w:tcBorders>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Fixed-price Contracts</w:t>
            </w:r>
          </w:p>
        </w:tc>
        <w:tc>
          <w:tcPr>
            <w:tcW w:w="66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E6E7E8"/>
            </w:tcBorders>
            <w:shd w:val="clear" w:color="auto" w:fill="E6E7E8"/>
          </w:tcPr>
          <w:p>
            <w:pPr>
              <w:spacing w:after="0"/>
              <w:rPr>
                <w:sz w:val="22"/>
                <w:szCs w:val="22"/>
                <w:color w:val="auto"/>
              </w:rPr>
            </w:pPr>
          </w:p>
        </w:tc>
        <w:tc>
          <w:tcPr>
            <w:tcW w:w="980" w:type="dxa"/>
            <w:vAlign w:val="bottom"/>
            <w:tcBorders>
              <w:bottom w:val="single" w:sz="8" w:color="E6E7E8"/>
            </w:tcBorders>
            <w:shd w:val="clear" w:color="auto" w:fill="E6E7E8"/>
          </w:tcPr>
          <w:p>
            <w:pPr>
              <w:jc w:val="right"/>
              <w:ind w:right="6"/>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E6E7E8"/>
            </w:tcBorders>
            <w:shd w:val="clear" w:color="auto" w:fill="E6E7E8"/>
          </w:tcPr>
          <w:p>
            <w:pPr>
              <w:spacing w:after="0"/>
              <w:rPr>
                <w:sz w:val="22"/>
                <w:szCs w:val="22"/>
                <w:color w:val="auto"/>
              </w:rPr>
            </w:pPr>
          </w:p>
        </w:tc>
        <w:tc>
          <w:tcPr>
            <w:tcW w:w="980" w:type="dxa"/>
            <w:vAlign w:val="bottom"/>
            <w:tcBorders>
              <w:bottom w:val="single" w:sz="8" w:color="E6E7E8"/>
            </w:tcBorders>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136</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59"/>
        </w:trPr>
        <w:tc>
          <w:tcPr>
            <w:tcW w:w="4000" w:type="dxa"/>
            <w:vAlign w:val="bottom"/>
            <w:tcBorders>
              <w:bottom w:val="single" w:sz="8" w:color="E6E7E8"/>
            </w:tcBorders>
            <w:gridSpan w:val="3"/>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231F20"/>
              </w:rPr>
              <w:t>Subtotal IT Staffing Services</w:t>
            </w:r>
          </w:p>
        </w:tc>
        <w:tc>
          <w:tcPr>
            <w:tcW w:w="660" w:type="dxa"/>
            <w:vAlign w:val="bottom"/>
            <w:tcBorders>
              <w:bottom w:val="single" w:sz="8" w:color="E6E7E8"/>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top w:val="single" w:sz="8" w:color="231F20"/>
              <w:bottom w:val="single" w:sz="8" w:color="231F20"/>
            </w:tcBorders>
          </w:tcPr>
          <w:p>
            <w:pPr>
              <w:jc w:val="right"/>
              <w:ind w:right="6"/>
              <w:spacing w:after="0" w:line="219" w:lineRule="exact"/>
              <w:rPr>
                <w:sz w:val="20"/>
                <w:szCs w:val="20"/>
                <w:color w:val="auto"/>
              </w:rPr>
            </w:pPr>
            <w:r>
              <w:rPr>
                <w:rFonts w:ascii="Times New Roman" w:cs="Times New Roman" w:eastAsia="Times New Roman" w:hAnsi="Times New Roman"/>
                <w:sz w:val="20"/>
                <w:szCs w:val="20"/>
                <w:b w:val="1"/>
                <w:bCs w:val="1"/>
                <w:color w:val="231F20"/>
              </w:rPr>
              <w:t>158,096</w:t>
            </w:r>
          </w:p>
        </w:tc>
        <w:tc>
          <w:tcPr>
            <w:tcW w:w="140" w:type="dxa"/>
            <w:vAlign w:val="bottom"/>
            <w:tcBorders>
              <w:bottom w:val="single" w:sz="8" w:color="E6E7E8"/>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top w:val="single" w:sz="8" w:color="231F20"/>
              <w:bottom w:val="single" w:sz="8" w:color="231F20"/>
            </w:tcBorders>
          </w:tcPr>
          <w:p>
            <w:pPr>
              <w:jc w:val="right"/>
              <w:ind w:right="3"/>
              <w:spacing w:after="0" w:line="219" w:lineRule="exact"/>
              <w:rPr>
                <w:sz w:val="20"/>
                <w:szCs w:val="20"/>
                <w:color w:val="auto"/>
              </w:rPr>
            </w:pPr>
            <w:r>
              <w:rPr>
                <w:rFonts w:ascii="Times New Roman" w:cs="Times New Roman" w:eastAsia="Times New Roman" w:hAnsi="Times New Roman"/>
                <w:sz w:val="20"/>
                <w:szCs w:val="20"/>
                <w:b w:val="1"/>
                <w:bCs w:val="1"/>
                <w:color w:val="231F20"/>
              </w:rPr>
              <w:t>162,318</w:t>
            </w:r>
          </w:p>
        </w:tc>
        <w:tc>
          <w:tcPr>
            <w:tcW w:w="140" w:type="dxa"/>
            <w:vAlign w:val="bottom"/>
            <w:tcBorders>
              <w:bottom w:val="single" w:sz="8" w:color="E6E7E8"/>
            </w:tcBorders>
          </w:tcPr>
          <w:p>
            <w:pPr>
              <w:spacing w:after="0"/>
              <w:rPr>
                <w:sz w:val="22"/>
                <w:szCs w:val="22"/>
                <w:color w:val="auto"/>
              </w:rPr>
            </w:pPr>
          </w:p>
        </w:tc>
        <w:tc>
          <w:tcPr>
            <w:tcW w:w="260" w:type="dxa"/>
            <w:vAlign w:val="bottom"/>
            <w:tcBorders>
              <w:top w:val="single" w:sz="8" w:color="231F20"/>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166,740</w:t>
            </w:r>
          </w:p>
        </w:tc>
        <w:tc>
          <w:tcPr>
            <w:tcW w:w="60" w:type="dxa"/>
            <w:vAlign w:val="bottom"/>
            <w:tcBorders>
              <w:top w:val="single" w:sz="8" w:color="231F20"/>
              <w:bottom w:val="single" w:sz="8" w:color="231F20"/>
            </w:tcBorders>
          </w:tcPr>
          <w:p>
            <w:pPr>
              <w:spacing w:after="0"/>
              <w:rPr>
                <w:sz w:val="22"/>
                <w:szCs w:val="22"/>
                <w:color w:val="auto"/>
              </w:rPr>
            </w:pPr>
          </w:p>
        </w:tc>
      </w:tr>
      <w:tr>
        <w:trPr>
          <w:trHeight w:val="249"/>
        </w:trPr>
        <w:tc>
          <w:tcPr>
            <w:tcW w:w="4000" w:type="dxa"/>
            <w:vAlign w:val="bottom"/>
            <w:tcBorders>
              <w:bottom w:val="single" w:sz="8" w:color="E6E7E8"/>
            </w:tcBorders>
            <w:gridSpan w:val="3"/>
            <w:shd w:val="clear" w:color="auto" w:fill="E6E7E8"/>
          </w:tcPr>
          <w:p>
            <w:pPr>
              <w:ind w:left="200"/>
              <w:spacing w:after="0"/>
              <w:rPr>
                <w:sz w:val="20"/>
                <w:szCs w:val="20"/>
                <w:color w:val="auto"/>
              </w:rPr>
            </w:pPr>
            <w:r>
              <w:rPr>
                <w:rFonts w:ascii="Times New Roman" w:cs="Times New Roman" w:eastAsia="Times New Roman" w:hAnsi="Times New Roman"/>
                <w:sz w:val="20"/>
                <w:szCs w:val="20"/>
                <w:b w:val="1"/>
                <w:bCs w:val="1"/>
                <w:color w:val="231F20"/>
              </w:rPr>
              <w:t>Total Revenues</w:t>
            </w:r>
          </w:p>
        </w:tc>
        <w:tc>
          <w:tcPr>
            <w:tcW w:w="66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bottom w:val="single" w:sz="8" w:color="231F20"/>
            </w:tcBorders>
            <w:shd w:val="clear" w:color="auto" w:fill="E6E7E8"/>
          </w:tcPr>
          <w:p>
            <w:pPr>
              <w:jc w:val="right"/>
              <w:ind w:right="6"/>
              <w:spacing w:after="0"/>
              <w:rPr>
                <w:sz w:val="20"/>
                <w:szCs w:val="20"/>
                <w:color w:val="auto"/>
              </w:rPr>
            </w:pPr>
            <w:r>
              <w:rPr>
                <w:rFonts w:ascii="Times New Roman" w:cs="Times New Roman" w:eastAsia="Times New Roman" w:hAnsi="Times New Roman"/>
                <w:sz w:val="20"/>
                <w:szCs w:val="20"/>
                <w:b w:val="1"/>
                <w:bCs w:val="1"/>
                <w:color w:val="231F20"/>
              </w:rPr>
              <w:t>191,371</w:t>
            </w:r>
          </w:p>
        </w:tc>
        <w:tc>
          <w:tcPr>
            <w:tcW w:w="14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bottom w:val="single" w:sz="8" w:color="231F20"/>
            </w:tcBorders>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b w:val="1"/>
                <w:bCs w:val="1"/>
                <w:color w:val="231F20"/>
              </w:rPr>
              <w:t>198,943</w:t>
            </w:r>
          </w:p>
        </w:tc>
        <w:tc>
          <w:tcPr>
            <w:tcW w:w="14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201,098</w:t>
            </w:r>
          </w:p>
        </w:tc>
        <w:tc>
          <w:tcPr>
            <w:tcW w:w="60" w:type="dxa"/>
            <w:vAlign w:val="bottom"/>
            <w:tcBorders>
              <w:bottom w:val="single" w:sz="8" w:color="231F20"/>
            </w:tcBorders>
            <w:shd w:val="clear" w:color="auto" w:fill="E6E7E8"/>
          </w:tcPr>
          <w:p>
            <w:pPr>
              <w:spacing w:after="0"/>
              <w:rPr>
                <w:sz w:val="21"/>
                <w:szCs w:val="21"/>
                <w:color w:val="auto"/>
              </w:rPr>
            </w:pPr>
          </w:p>
        </w:tc>
      </w:tr>
      <w:tr>
        <w:trPr>
          <w:trHeight w:val="20"/>
        </w:trPr>
        <w:tc>
          <w:tcPr>
            <w:tcW w:w="2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-1841500</wp:posOffset>
            </wp:positionV>
            <wp:extent cx="25273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2527300" cy="38100"/>
                    </a:xfrm>
                    <a:prstGeom prst="rect">
                      <a:avLst/>
                    </a:prstGeom>
                    <a:noFill/>
                  </pic:spPr>
                </pic:pic>
              </a:graphicData>
            </a:graphic>
          </wp:anchor>
        </w:drawing>
      </w:r>
    </w:p>
    <w:p>
      <w:pPr>
        <w:spacing w:after="0" w:line="23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Company had three clients that individually accounted for more than 10% of total revenues in 2025: Fidelity (16.7%), Populus (12.1%), and CGI (10.8%). In 2024, two clients exceeded 10% of total revenues: CGI (14.5%) and Populus (10.7%). In 2023, one client, CGI, accounted for 22.5% of total revenues. At December 31, 2025 and 2024, CGI accounted for 20.0% and 27.0%, respectively, of the Company’s accounts receivable. Fidelity accounted for 18.0% and 6.0% of accounts receivable at December 31, 2025 and 2024, respectively. Populus accounted for 3.0% and 6.0% of accounts receivable at December 31, 2025 and 2024, respectively.</w:t>
      </w:r>
    </w:p>
    <w:p>
      <w:pPr>
        <w:spacing w:after="0" w:line="200" w:lineRule="exact"/>
        <w:rPr>
          <w:sz w:val="20"/>
          <w:szCs w:val="20"/>
          <w:color w:val="auto"/>
        </w:rPr>
      </w:pPr>
    </w:p>
    <w:p>
      <w:pPr>
        <w:spacing w:after="0" w:line="230" w:lineRule="exact"/>
        <w:rPr>
          <w:sz w:val="20"/>
          <w:szCs w:val="20"/>
          <w:color w:val="auto"/>
        </w:rPr>
      </w:pPr>
    </w:p>
    <w:p>
      <w:pPr>
        <w:jc w:val="both"/>
        <w:ind w:right="540" w:firstLine="490"/>
        <w:spacing w:after="0" w:line="258" w:lineRule="auto"/>
        <w:rPr>
          <w:sz w:val="20"/>
          <w:szCs w:val="20"/>
          <w:color w:val="auto"/>
        </w:rPr>
      </w:pPr>
      <w:r>
        <w:rPr>
          <w:rFonts w:ascii="Times New Roman" w:cs="Times New Roman" w:eastAsia="Times New Roman" w:hAnsi="Times New Roman"/>
          <w:sz w:val="20"/>
          <w:szCs w:val="20"/>
          <w:color w:val="231F20"/>
        </w:rPr>
        <w:t>The Company’s top ten clients represented approximately 58%, 54% and 53% of total revenues in 2025, 2024 and 2023, respectively. The following table presents our revenue from external customers disaggregated by geography, based on the work location of our customers:</w:t>
      </w:r>
    </w:p>
    <w:p>
      <w:pPr>
        <w:spacing w:after="0" w:line="285"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6"/>
          </w:tcPr>
          <w:p>
            <w:pPr>
              <w:jc w:val="center"/>
              <w:ind w:left="529"/>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0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239"/>
        </w:trPr>
        <w:tc>
          <w:tcPr>
            <w:tcW w:w="2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right="284"/>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4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231F20"/>
            </w:tcBorders>
          </w:tcPr>
          <w:p>
            <w:pPr>
              <w:spacing w:after="0"/>
              <w:rPr>
                <w:sz w:val="20"/>
                <w:szCs w:val="20"/>
                <w:color w:val="auto"/>
              </w:rPr>
            </w:pPr>
          </w:p>
        </w:tc>
      </w:tr>
      <w:tr>
        <w:trPr>
          <w:trHeight w:val="239"/>
        </w:trPr>
        <w:tc>
          <w:tcPr>
            <w:tcW w:w="2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6"/>
          </w:tcPr>
          <w:p>
            <w:pPr>
              <w:jc w:val="center"/>
              <w:ind w:left="529"/>
              <w:spacing w:after="0"/>
              <w:rPr>
                <w:sz w:val="20"/>
                <w:szCs w:val="20"/>
                <w:color w:val="auto"/>
              </w:rPr>
            </w:pPr>
            <w:r>
              <w:rPr>
                <w:rFonts w:ascii="Times New Roman" w:cs="Times New Roman" w:eastAsia="Times New Roman" w:hAnsi="Times New Roman"/>
                <w:sz w:val="16"/>
                <w:szCs w:val="16"/>
                <w:b w:val="1"/>
                <w:bCs w:val="1"/>
                <w:color w:val="231F20"/>
                <w:w w:val="99"/>
              </w:rPr>
              <w:t>(Amounts in thousands)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29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United States</w:t>
            </w:r>
          </w:p>
        </w:tc>
        <w:tc>
          <w:tcPr>
            <w:tcW w:w="196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6E7E8"/>
          </w:tcPr>
          <w:p>
            <w:pPr>
              <w:jc w:val="right"/>
              <w:ind w:right="9"/>
              <w:spacing w:after="0"/>
              <w:rPr>
                <w:sz w:val="20"/>
                <w:szCs w:val="20"/>
                <w:color w:val="auto"/>
              </w:rPr>
            </w:pPr>
            <w:r>
              <w:rPr>
                <w:rFonts w:ascii="Times New Roman" w:cs="Times New Roman" w:eastAsia="Times New Roman" w:hAnsi="Times New Roman"/>
                <w:sz w:val="20"/>
                <w:szCs w:val="20"/>
                <w:color w:val="231F20"/>
              </w:rPr>
              <w:t>189,286</w:t>
            </w:r>
          </w:p>
        </w:tc>
        <w:tc>
          <w:tcPr>
            <w:tcW w:w="4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195,455</w:t>
            </w:r>
          </w:p>
        </w:tc>
        <w:tc>
          <w:tcPr>
            <w:tcW w:w="4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197,246</w:t>
            </w:r>
          </w:p>
        </w:tc>
        <w:tc>
          <w:tcPr>
            <w:tcW w:w="60" w:type="dxa"/>
            <w:vAlign w:val="bottom"/>
            <w:shd w:val="clear" w:color="auto" w:fill="E6E7E8"/>
          </w:tcPr>
          <w:p>
            <w:pPr>
              <w:spacing w:after="0"/>
              <w:rPr>
                <w:sz w:val="21"/>
                <w:szCs w:val="21"/>
                <w:color w:val="auto"/>
              </w:rPr>
            </w:pPr>
          </w:p>
        </w:tc>
      </w:tr>
      <w:tr>
        <w:trPr>
          <w:trHeight w:val="244"/>
        </w:trPr>
        <w:tc>
          <w:tcPr>
            <w:tcW w:w="2960" w:type="dxa"/>
            <w:vAlign w:val="bottom"/>
          </w:tcPr>
          <w:p>
            <w:pPr>
              <w:spacing w:after="0"/>
              <w:rPr>
                <w:sz w:val="20"/>
                <w:szCs w:val="20"/>
                <w:color w:val="auto"/>
              </w:rPr>
            </w:pPr>
            <w:r>
              <w:rPr>
                <w:rFonts w:ascii="Times New Roman" w:cs="Times New Roman" w:eastAsia="Times New Roman" w:hAnsi="Times New Roman"/>
                <w:sz w:val="20"/>
                <w:szCs w:val="20"/>
                <w:color w:val="231F20"/>
              </w:rPr>
              <w:t>Canada</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556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1,041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2,474</w:t>
            </w:r>
          </w:p>
        </w:tc>
        <w:tc>
          <w:tcPr>
            <w:tcW w:w="60" w:type="dxa"/>
            <w:vAlign w:val="bottom"/>
          </w:tcPr>
          <w:p>
            <w:pPr>
              <w:spacing w:after="0"/>
              <w:rPr>
                <w:sz w:val="21"/>
                <w:szCs w:val="21"/>
                <w:color w:val="auto"/>
              </w:rPr>
            </w:pPr>
          </w:p>
        </w:tc>
      </w:tr>
      <w:tr>
        <w:trPr>
          <w:trHeight w:val="264"/>
        </w:trPr>
        <w:tc>
          <w:tcPr>
            <w:tcW w:w="296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India and Other</w:t>
            </w:r>
          </w:p>
        </w:tc>
        <w:tc>
          <w:tcPr>
            <w:tcW w:w="170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spacing w:after="0"/>
              <w:rPr>
                <w:sz w:val="22"/>
                <w:szCs w:val="22"/>
                <w:color w:val="auto"/>
              </w:rPr>
            </w:pPr>
          </w:p>
        </w:tc>
        <w:tc>
          <w:tcPr>
            <w:tcW w:w="980" w:type="dxa"/>
            <w:vAlign w:val="bottom"/>
            <w:tcBorders>
              <w:bottom w:val="single" w:sz="8" w:color="231F20"/>
            </w:tcBorders>
            <w:shd w:val="clear" w:color="auto" w:fill="E6E7E8"/>
          </w:tcPr>
          <w:p>
            <w:pPr>
              <w:jc w:val="right"/>
              <w:ind w:right="9"/>
              <w:spacing w:after="0"/>
              <w:rPr>
                <w:sz w:val="20"/>
                <w:szCs w:val="20"/>
                <w:color w:val="auto"/>
              </w:rPr>
            </w:pPr>
            <w:r>
              <w:rPr>
                <w:rFonts w:ascii="Times New Roman" w:cs="Times New Roman" w:eastAsia="Times New Roman" w:hAnsi="Times New Roman"/>
                <w:sz w:val="20"/>
                <w:szCs w:val="20"/>
                <w:color w:val="231F20"/>
              </w:rPr>
              <w:t>1,529</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spacing w:after="0"/>
              <w:rPr>
                <w:sz w:val="22"/>
                <w:szCs w:val="22"/>
                <w:color w:val="auto"/>
              </w:rPr>
            </w:pPr>
          </w:p>
        </w:tc>
        <w:tc>
          <w:tcPr>
            <w:tcW w:w="980" w:type="dxa"/>
            <w:vAlign w:val="bottom"/>
            <w:tcBorders>
              <w:bottom w:val="single" w:sz="8" w:color="231F20"/>
            </w:tcBorders>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2,447</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spacing w:after="0"/>
              <w:rPr>
                <w:sz w:val="22"/>
                <w:szCs w:val="22"/>
                <w:color w:val="auto"/>
              </w:rPr>
            </w:pPr>
          </w:p>
        </w:tc>
        <w:tc>
          <w:tcPr>
            <w:tcW w:w="9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1,378</w:t>
            </w:r>
          </w:p>
        </w:tc>
        <w:tc>
          <w:tcPr>
            <w:tcW w:w="60" w:type="dxa"/>
            <w:vAlign w:val="bottom"/>
            <w:tcBorders>
              <w:bottom w:val="single" w:sz="8" w:color="231F20"/>
            </w:tcBorders>
            <w:shd w:val="clear" w:color="auto" w:fill="E6E7E8"/>
          </w:tcPr>
          <w:p>
            <w:pPr>
              <w:spacing w:after="0"/>
              <w:rPr>
                <w:sz w:val="22"/>
                <w:szCs w:val="22"/>
                <w:color w:val="auto"/>
              </w:rPr>
            </w:pPr>
          </w:p>
        </w:tc>
      </w:tr>
      <w:tr>
        <w:trPr>
          <w:trHeight w:val="219"/>
        </w:trPr>
        <w:tc>
          <w:tcPr>
            <w:tcW w:w="296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b w:val="1"/>
                <w:bCs w:val="1"/>
                <w:color w:val="231F20"/>
              </w:rPr>
              <w:t>Total</w:t>
            </w:r>
          </w:p>
        </w:tc>
        <w:tc>
          <w:tcPr>
            <w:tcW w:w="170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bottom w:val="single" w:sz="8" w:color="231F20"/>
            </w:tcBorders>
          </w:tcPr>
          <w:p>
            <w:pPr>
              <w:jc w:val="right"/>
              <w:ind w:right="9"/>
              <w:spacing w:after="0" w:line="219" w:lineRule="exact"/>
              <w:rPr>
                <w:sz w:val="20"/>
                <w:szCs w:val="20"/>
                <w:color w:val="auto"/>
              </w:rPr>
            </w:pPr>
            <w:r>
              <w:rPr>
                <w:rFonts w:ascii="Times New Roman" w:cs="Times New Roman" w:eastAsia="Times New Roman" w:hAnsi="Times New Roman"/>
                <w:sz w:val="20"/>
                <w:szCs w:val="20"/>
                <w:b w:val="1"/>
                <w:bCs w:val="1"/>
                <w:color w:val="231F20"/>
              </w:rPr>
              <w:t>191,371</w:t>
            </w:r>
          </w:p>
        </w:tc>
        <w:tc>
          <w:tcPr>
            <w:tcW w:w="14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80" w:type="dxa"/>
            <w:vAlign w:val="bottom"/>
            <w:tcBorders>
              <w:bottom w:val="single" w:sz="8" w:color="231F20"/>
            </w:tcBorders>
          </w:tcPr>
          <w:p>
            <w:pPr>
              <w:jc w:val="right"/>
              <w:ind w:right="4"/>
              <w:spacing w:after="0" w:line="219" w:lineRule="exact"/>
              <w:rPr>
                <w:sz w:val="20"/>
                <w:szCs w:val="20"/>
                <w:color w:val="auto"/>
              </w:rPr>
            </w:pPr>
            <w:r>
              <w:rPr>
                <w:rFonts w:ascii="Times New Roman" w:cs="Times New Roman" w:eastAsia="Times New Roman" w:hAnsi="Times New Roman"/>
                <w:sz w:val="20"/>
                <w:szCs w:val="20"/>
                <w:b w:val="1"/>
                <w:bCs w:val="1"/>
                <w:color w:val="231F20"/>
              </w:rPr>
              <w:t>198,943</w:t>
            </w:r>
          </w:p>
        </w:tc>
        <w:tc>
          <w:tcPr>
            <w:tcW w:w="14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9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201,098</w:t>
            </w:r>
          </w:p>
        </w:tc>
        <w:tc>
          <w:tcPr>
            <w:tcW w:w="60" w:type="dxa"/>
            <w:vAlign w:val="bottom"/>
            <w:tcBorders>
              <w:bottom w:val="single" w:sz="8" w:color="231F20"/>
            </w:tcBorders>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-1000125</wp:posOffset>
            </wp:positionV>
            <wp:extent cx="25273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2527300" cy="38100"/>
                    </a:xfrm>
                    <a:prstGeom prst="rect">
                      <a:avLst/>
                    </a:prstGeom>
                    <a:noFill/>
                  </pic:spPr>
                </pic:pic>
              </a:graphicData>
            </a:graphic>
          </wp:anchor>
        </w:drawing>
      </w:r>
    </w:p>
    <w:p>
      <w:pPr>
        <w:spacing w:after="0" w:line="23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Contract assets, shown as unbilled receivables in the Consolidated Balance Sheets, primarily relate to the right to consideration for work completed, but not billed at the reporting date on contracts with customers. The contract assets are transferred to receivables when the rights become unconditional. Contract liabilities, shown as deferred revenue in the Consolidated Balance Sheets, primarily relate to contracts where advance payments or deposits have been received, but performance obligations have not yet been satisfied and revenue has not been recognized.</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presents the Company’s net accounts receivable from customers, contract assets and contract liabilities:</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020" w:type="dxa"/>
            <w:vAlign w:val="bottom"/>
            <w:tcBorders>
              <w:bottom w:val="single" w:sz="8" w:color="231F20"/>
            </w:tcBorders>
          </w:tcPr>
          <w:p>
            <w:pPr>
              <w:spacing w:after="0"/>
              <w:rPr>
                <w:sz w:val="17"/>
                <w:szCs w:val="17"/>
                <w:color w:val="auto"/>
              </w:rPr>
            </w:pPr>
          </w:p>
        </w:tc>
      </w:tr>
      <w:tr>
        <w:trPr>
          <w:trHeight w:val="239"/>
        </w:trPr>
        <w:tc>
          <w:tcPr>
            <w:tcW w:w="55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39"/>
        </w:trPr>
        <w:tc>
          <w:tcPr>
            <w:tcW w:w="5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right"/>
              <w:ind w:right="663"/>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r>
      <w:tr>
        <w:trPr>
          <w:trHeight w:val="244"/>
        </w:trPr>
        <w:tc>
          <w:tcPr>
            <w:tcW w:w="55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Receivables from contracts, beginning of year</w:t>
            </w:r>
          </w:p>
        </w:tc>
        <w:tc>
          <w:tcPr>
            <w:tcW w:w="320" w:type="dxa"/>
            <w:vAlign w:val="bottom"/>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23,845</w:t>
            </w:r>
          </w:p>
        </w:tc>
        <w:tc>
          <w:tcPr>
            <w:tcW w:w="580" w:type="dxa"/>
            <w:vAlign w:val="bottom"/>
            <w:gridSpan w:val="2"/>
            <w:shd w:val="clear" w:color="auto" w:fill="E6E7E8"/>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22,556</w:t>
            </w:r>
          </w:p>
        </w:tc>
      </w:tr>
      <w:tr>
        <w:trPr>
          <w:trHeight w:val="244"/>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Receivables from contracts, end of year</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20,648</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23,845</w:t>
            </w:r>
          </w:p>
        </w:tc>
      </w:tr>
      <w:tr>
        <w:trPr>
          <w:trHeight w:val="244"/>
        </w:trPr>
        <w:tc>
          <w:tcPr>
            <w:tcW w:w="55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Contract assets, beginning of year</w:t>
            </w:r>
          </w:p>
        </w:tc>
        <w:tc>
          <w:tcPr>
            <w:tcW w:w="320" w:type="dxa"/>
            <w:vAlign w:val="bottom"/>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7,598</w:t>
            </w:r>
          </w:p>
        </w:tc>
        <w:tc>
          <w:tcPr>
            <w:tcW w:w="580" w:type="dxa"/>
            <w:vAlign w:val="bottom"/>
            <w:gridSpan w:val="2"/>
            <w:shd w:val="clear" w:color="auto" w:fill="E6E7E8"/>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7,259</w:t>
            </w:r>
          </w:p>
        </w:tc>
      </w:tr>
      <w:tr>
        <w:trPr>
          <w:trHeight w:val="244"/>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Contract assets, end of year</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5,748</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7,598</w:t>
            </w:r>
          </w:p>
        </w:tc>
      </w:tr>
      <w:tr>
        <w:trPr>
          <w:trHeight w:val="244"/>
        </w:trPr>
        <w:tc>
          <w:tcPr>
            <w:tcW w:w="55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Contract liabilities, beginning of year</w:t>
            </w:r>
          </w:p>
        </w:tc>
        <w:tc>
          <w:tcPr>
            <w:tcW w:w="320" w:type="dxa"/>
            <w:vAlign w:val="bottom"/>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329</w:t>
            </w:r>
          </w:p>
        </w:tc>
        <w:tc>
          <w:tcPr>
            <w:tcW w:w="580" w:type="dxa"/>
            <w:vAlign w:val="bottom"/>
            <w:gridSpan w:val="2"/>
            <w:shd w:val="clear" w:color="auto" w:fill="E6E7E8"/>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684</w:t>
            </w:r>
          </w:p>
        </w:tc>
      </w:tr>
      <w:tr>
        <w:trPr>
          <w:trHeight w:val="266"/>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231F20"/>
              </w:rPr>
              <w:t>Contract liabilities, end of year</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41</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329</w:t>
            </w:r>
          </w:p>
        </w:tc>
      </w:tr>
    </w:tbl>
    <w:p>
      <w:pPr>
        <w:spacing w:after="0" w:line="200" w:lineRule="exact"/>
        <w:rPr>
          <w:sz w:val="20"/>
          <w:szCs w:val="20"/>
          <w:color w:val="auto"/>
        </w:rPr>
      </w:pPr>
    </w:p>
    <w:p>
      <w:pPr>
        <w:sectPr>
          <w:pgSz w:w="11880" w:h="15480" w:orient="portrait"/>
          <w:cols w:equalWidth="0" w:num="1">
            <w:col w:w="10760"/>
          </w:cols>
          <w:pgMar w:left="540" w:top="750" w:right="580" w:bottom="0" w:gutter="0" w:footer="0" w:header="0"/>
        </w:sectPr>
      </w:pP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760"/>
          </w:cols>
          <w:pgMar w:left="540" w:top="750" w:right="580" w:bottom="0" w:gutter="0" w:footer="0" w:header="0"/>
          <w:type w:val="continuous"/>
        </w:sectPr>
      </w:pPr>
    </w:p>
    <w:bookmarkStart w:id="66" w:name="page67"/>
    <w:bookmarkEnd w:id="66"/>
    <w:p>
      <w:pPr>
        <w:ind w:right="400" w:firstLine="490"/>
        <w:spacing w:after="0" w:line="258" w:lineRule="auto"/>
        <w:rPr>
          <w:sz w:val="20"/>
          <w:szCs w:val="20"/>
          <w:color w:val="auto"/>
        </w:rPr>
      </w:pPr>
      <w:r>
        <w:rPr>
          <w:rFonts w:ascii="Times New Roman" w:cs="Times New Roman" w:eastAsia="Times New Roman" w:hAnsi="Times New Roman"/>
          <w:sz w:val="20"/>
          <w:szCs w:val="20"/>
          <w:color w:val="231F20"/>
        </w:rPr>
        <w:t>As the majority of our contracts are one year or less when considering cancellation options, we have utilized the optional exemption under ASC 606-10-50-14 to not disclose information about the remaining performance obligations for contracts which have original expected durations of one year or less.</w:t>
      </w:r>
    </w:p>
    <w:p>
      <w:pPr>
        <w:spacing w:after="0" w:line="304" w:lineRule="exact"/>
        <w:rPr>
          <w:sz w:val="20"/>
          <w:szCs w:val="20"/>
          <w:color w:val="auto"/>
        </w:rPr>
      </w:pPr>
    </w:p>
    <w:p>
      <w:pPr>
        <w:ind w:left="480" w:hanging="480"/>
        <w:spacing w:after="0"/>
        <w:tabs>
          <w:tab w:leader="none" w:pos="480" w:val="left"/>
        </w:tabs>
        <w:numPr>
          <w:ilvl w:val="0"/>
          <w:numId w:val="2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Goodwill and Other Intangible Assets, net</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Goodwill of $8.4 million related to our IT Staffing Services segment resulted from the 2015 acquisition of Hudson IT.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97"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the beginning and ending amounts of goodwill by operating segment for the three years ended December 31, 2025 is as follows:</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10"/>
          </w:tcPr>
          <w:p>
            <w:pPr>
              <w:jc w:val="center"/>
              <w:ind w:left="449"/>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93"/>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Borders>
              <w:bottom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center"/>
              <w:ind w:right="224"/>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bottom w:val="single" w:sz="8" w:color="231F20"/>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Borders>
              <w:bottom w:val="single" w:sz="8" w:color="231F20"/>
            </w:tcBorders>
          </w:tcPr>
          <w:p>
            <w:pPr>
              <w:spacing w:after="0"/>
              <w:rPr>
                <w:sz w:val="16"/>
                <w:szCs w:val="16"/>
                <w:color w:val="auto"/>
              </w:rPr>
            </w:pPr>
          </w:p>
        </w:tc>
        <w:tc>
          <w:tcPr>
            <w:tcW w:w="60" w:type="dxa"/>
            <w:vAlign w:val="bottom"/>
            <w:tcBorders>
              <w:bottom w:val="single" w:sz="8" w:color="231F20"/>
            </w:tcBorders>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10"/>
          </w:tcPr>
          <w:p>
            <w:pPr>
              <w:jc w:val="center"/>
              <w:ind w:left="429"/>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49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IT Staffing Services:</w:t>
            </w:r>
          </w:p>
        </w:tc>
        <w:tc>
          <w:tcPr>
            <w:tcW w:w="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44"/>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Beginning balance</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8,427</w:t>
            </w:r>
          </w:p>
        </w:tc>
        <w:tc>
          <w:tcPr>
            <w:tcW w:w="20" w:type="dxa"/>
            <w:vAlign w:val="bottom"/>
          </w:tcPr>
          <w:p>
            <w:pPr>
              <w:spacing w:after="0"/>
              <w:rPr>
                <w:sz w:val="21"/>
                <w:szCs w:val="21"/>
                <w:color w:val="auto"/>
              </w:rPr>
            </w:pPr>
          </w:p>
        </w:tc>
        <w:tc>
          <w:tcPr>
            <w:tcW w:w="32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8,427</w:t>
            </w:r>
          </w:p>
        </w:tc>
        <w:tc>
          <w:tcPr>
            <w:tcW w:w="20" w:type="dxa"/>
            <w:vAlign w:val="bottom"/>
          </w:tcPr>
          <w:p>
            <w:pPr>
              <w:spacing w:after="0"/>
              <w:rPr>
                <w:sz w:val="21"/>
                <w:szCs w:val="21"/>
                <w:color w:val="auto"/>
              </w:rPr>
            </w:pPr>
          </w:p>
        </w:tc>
        <w:tc>
          <w:tcPr>
            <w:tcW w:w="400" w:type="dxa"/>
            <w:vAlign w:val="bottom"/>
            <w:gridSpan w:val="3"/>
          </w:tcPr>
          <w:p>
            <w:pPr>
              <w:jc w:val="right"/>
              <w:ind w:right="104"/>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8,427</w:t>
            </w:r>
          </w:p>
        </w:tc>
        <w:tc>
          <w:tcPr>
            <w:tcW w:w="60" w:type="dxa"/>
            <w:vAlign w:val="bottom"/>
          </w:tcPr>
          <w:p>
            <w:pPr>
              <w:spacing w:after="0"/>
              <w:rPr>
                <w:sz w:val="21"/>
                <w:szCs w:val="21"/>
                <w:color w:val="auto"/>
              </w:rPr>
            </w:pPr>
          </w:p>
        </w:tc>
      </w:tr>
      <w:tr>
        <w:trPr>
          <w:trHeight w:val="244"/>
        </w:trPr>
        <w:tc>
          <w:tcPr>
            <w:tcW w:w="49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Goodwill recorded</w:t>
            </w:r>
          </w:p>
        </w:tc>
        <w:tc>
          <w:tcPr>
            <w:tcW w:w="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4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40" w:type="dxa"/>
            <w:vAlign w:val="bottom"/>
            <w:gridSpan w:val="2"/>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44"/>
        </w:trPr>
        <w:tc>
          <w:tcPr>
            <w:tcW w:w="496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20" w:type="dxa"/>
            <w:vAlign w:val="bottom"/>
            <w:tcBorders>
              <w:bottom w:val="single" w:sz="8" w:color="E6E7E8"/>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6E7E8"/>
            </w:tcBorders>
          </w:tcPr>
          <w:p>
            <w:pPr>
              <w:spacing w:after="0"/>
              <w:rPr>
                <w:sz w:val="21"/>
                <w:szCs w:val="21"/>
                <w:color w:val="auto"/>
              </w:rPr>
            </w:pPr>
          </w:p>
        </w:tc>
        <w:tc>
          <w:tcPr>
            <w:tcW w:w="20" w:type="dxa"/>
            <w:vAlign w:val="bottom"/>
            <w:tcBorders>
              <w:bottom w:val="single" w:sz="8" w:color="E6E7E8"/>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6E7E8"/>
            </w:tcBorders>
          </w:tcPr>
          <w:p>
            <w:pPr>
              <w:spacing w:after="0"/>
              <w:rPr>
                <w:sz w:val="21"/>
                <w:szCs w:val="21"/>
                <w:color w:val="auto"/>
              </w:rPr>
            </w:pPr>
          </w:p>
        </w:tc>
        <w:tc>
          <w:tcPr>
            <w:tcW w:w="2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r>
      <w:tr>
        <w:trPr>
          <w:trHeight w:val="259"/>
        </w:trPr>
        <w:tc>
          <w:tcPr>
            <w:tcW w:w="496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Ending balance</w:t>
            </w:r>
          </w:p>
        </w:tc>
        <w:tc>
          <w:tcPr>
            <w:tcW w:w="20" w:type="dxa"/>
            <w:vAlign w:val="bottom"/>
            <w:tcBorders>
              <w:bottom w:val="single" w:sz="8" w:color="E6E7E8"/>
            </w:tcBorders>
            <w:shd w:val="clear" w:color="auto" w:fill="E6E7E8"/>
          </w:tcPr>
          <w:p>
            <w:pPr>
              <w:spacing w:after="0"/>
              <w:rPr>
                <w:sz w:val="22"/>
                <w:szCs w:val="22"/>
                <w:color w:val="auto"/>
              </w:rPr>
            </w:pPr>
          </w:p>
        </w:tc>
        <w:tc>
          <w:tcPr>
            <w:tcW w:w="220" w:type="dxa"/>
            <w:vAlign w:val="bottom"/>
            <w:tcBorders>
              <w:bottom w:val="single" w:sz="8" w:color="231F20"/>
            </w:tcBorders>
            <w:shd w:val="clear" w:color="auto" w:fill="E6E7E8"/>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shd w:val="clear" w:color="auto" w:fill="E6E7E8"/>
          </w:tcPr>
          <w:p>
            <w:pPr>
              <w:jc w:val="right"/>
              <w:ind w:right="9"/>
              <w:spacing w:after="0"/>
              <w:rPr>
                <w:sz w:val="20"/>
                <w:szCs w:val="20"/>
                <w:color w:val="auto"/>
              </w:rPr>
            </w:pPr>
            <w:r>
              <w:rPr>
                <w:rFonts w:ascii="Times New Roman" w:cs="Times New Roman" w:eastAsia="Times New Roman" w:hAnsi="Times New Roman"/>
                <w:sz w:val="20"/>
                <w:szCs w:val="20"/>
                <w:color w:val="231F20"/>
              </w:rPr>
              <w:t>8,427</w:t>
            </w:r>
          </w:p>
        </w:tc>
        <w:tc>
          <w:tcPr>
            <w:tcW w:w="20" w:type="dxa"/>
            <w:vAlign w:val="bottom"/>
            <w:tcBorders>
              <w:bottom w:val="single" w:sz="8" w:color="231F20"/>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8,427</w:t>
            </w:r>
          </w:p>
        </w:tc>
        <w:tc>
          <w:tcPr>
            <w:tcW w:w="20" w:type="dxa"/>
            <w:vAlign w:val="bottom"/>
            <w:tcBorders>
              <w:bottom w:val="single" w:sz="8" w:color="231F20"/>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2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jc w:val="right"/>
              <w:ind w:right="104"/>
              <w:spacing w:after="0"/>
              <w:rPr>
                <w:sz w:val="20"/>
                <w:szCs w:val="20"/>
                <w:color w:val="auto"/>
              </w:rPr>
            </w:pPr>
            <w:r>
              <w:rPr>
                <w:rFonts w:ascii="Times New Roman" w:cs="Times New Roman" w:eastAsia="Times New Roman" w:hAnsi="Times New Roman"/>
                <w:sz w:val="17"/>
                <w:szCs w:val="17"/>
                <w:color w:val="231F20"/>
                <w:w w:val="70"/>
              </w:rPr>
              <w:t>$</w:t>
            </w:r>
          </w:p>
        </w:tc>
        <w:tc>
          <w:tcPr>
            <w:tcW w:w="78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8,427</w:t>
            </w:r>
          </w:p>
        </w:tc>
        <w:tc>
          <w:tcPr>
            <w:tcW w:w="60" w:type="dxa"/>
            <w:vAlign w:val="bottom"/>
            <w:tcBorders>
              <w:bottom w:val="single" w:sz="8" w:color="231F20"/>
            </w:tcBorders>
            <w:shd w:val="clear" w:color="auto" w:fill="E6E7E8"/>
          </w:tcPr>
          <w:p>
            <w:pPr>
              <w:spacing w:after="0"/>
              <w:rPr>
                <w:sz w:val="22"/>
                <w:szCs w:val="22"/>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r>
        <w:trPr>
          <w:trHeight w:val="439"/>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10"/>
          </w:tcPr>
          <w:p>
            <w:pPr>
              <w:jc w:val="center"/>
              <w:ind w:left="409"/>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60" w:type="dxa"/>
            <w:vAlign w:val="bottom"/>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r>
      <w:tr>
        <w:trPr>
          <w:trHeight w:val="193"/>
        </w:trPr>
        <w:tc>
          <w:tcPr>
            <w:tcW w:w="4960" w:type="dxa"/>
            <w:vAlign w:val="bottom"/>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center"/>
              <w:ind w:right="224"/>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 w:type="dxa"/>
            <w:vAlign w:val="bottom"/>
            <w:tcBorders>
              <w:bottom w:val="single" w:sz="8" w:color="231F20"/>
            </w:tcBorders>
          </w:tcPr>
          <w:p>
            <w:pPr>
              <w:spacing w:after="0"/>
              <w:rPr>
                <w:sz w:val="16"/>
                <w:szCs w:val="16"/>
                <w:color w:val="auto"/>
              </w:rPr>
            </w:pPr>
          </w:p>
        </w:tc>
        <w:tc>
          <w:tcPr>
            <w:tcW w:w="60" w:type="dxa"/>
            <w:vAlign w:val="bottom"/>
            <w:tcBorders>
              <w:bottom w:val="single" w:sz="8" w:color="231F20"/>
            </w:tcBorders>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10"/>
          </w:tcPr>
          <w:p>
            <w:pPr>
              <w:jc w:val="center"/>
              <w:ind w:left="409"/>
              <w:spacing w:after="0"/>
              <w:rPr>
                <w:sz w:val="20"/>
                <w:szCs w:val="20"/>
                <w:color w:val="auto"/>
              </w:rPr>
            </w:pPr>
            <w:r>
              <w:rPr>
                <w:rFonts w:ascii="Times New Roman" w:cs="Times New Roman" w:eastAsia="Times New Roman" w:hAnsi="Times New Roman"/>
                <w:sz w:val="16"/>
                <w:szCs w:val="16"/>
                <w:b w:val="1"/>
                <w:bCs w:val="1"/>
                <w:color w:val="231F20"/>
                <w:w w:val="99"/>
              </w:rPr>
              <w:t>(Amounts in thousands)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49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Data and Analytics Services:</w:t>
            </w:r>
          </w:p>
        </w:tc>
        <w:tc>
          <w:tcPr>
            <w:tcW w:w="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44"/>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Beginning balance</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231F20"/>
              </w:rPr>
              <w:t>18,783</w:t>
            </w:r>
          </w:p>
        </w:tc>
        <w:tc>
          <w:tcPr>
            <w:tcW w:w="20" w:type="dxa"/>
            <w:vAlign w:val="bottom"/>
          </w:tcPr>
          <w:p>
            <w:pPr>
              <w:spacing w:after="0"/>
              <w:rPr>
                <w:sz w:val="21"/>
                <w:szCs w:val="21"/>
                <w:color w:val="auto"/>
              </w:rPr>
            </w:pPr>
          </w:p>
        </w:tc>
        <w:tc>
          <w:tcPr>
            <w:tcW w:w="320" w:type="dxa"/>
            <w:vAlign w:val="bottom"/>
            <w:gridSpan w:val="3"/>
          </w:tcPr>
          <w:p>
            <w:pPr>
              <w:jc w:val="right"/>
              <w:ind w:right="35"/>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18,783</w:t>
            </w:r>
          </w:p>
        </w:tc>
        <w:tc>
          <w:tcPr>
            <w:tcW w:w="20" w:type="dxa"/>
            <w:vAlign w:val="bottom"/>
          </w:tcPr>
          <w:p>
            <w:pPr>
              <w:spacing w:after="0"/>
              <w:rPr>
                <w:sz w:val="21"/>
                <w:szCs w:val="21"/>
                <w:color w:val="auto"/>
              </w:rPr>
            </w:pPr>
          </w:p>
        </w:tc>
        <w:tc>
          <w:tcPr>
            <w:tcW w:w="400" w:type="dxa"/>
            <w:vAlign w:val="bottom"/>
            <w:gridSpan w:val="3"/>
          </w:tcPr>
          <w:p>
            <w:pPr>
              <w:jc w:val="right"/>
              <w:ind w:right="104"/>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24,083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9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Goodwill recorded</w:t>
            </w:r>
          </w:p>
        </w:tc>
        <w:tc>
          <w:tcPr>
            <w:tcW w:w="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4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40" w:type="dxa"/>
            <w:vAlign w:val="bottom"/>
            <w:gridSpan w:val="2"/>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2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E6E7E8"/>
          </w:tcPr>
          <w:p>
            <w:pPr>
              <w:spacing w:after="0"/>
              <w:rPr>
                <w:sz w:val="21"/>
                <w:szCs w:val="21"/>
                <w:color w:val="auto"/>
              </w:rPr>
            </w:pPr>
          </w:p>
        </w:tc>
        <w:tc>
          <w:tcPr>
            <w:tcW w:w="2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44"/>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Impairment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(5,300)</w:t>
            </w:r>
          </w:p>
        </w:tc>
      </w:tr>
      <w:tr>
        <w:trPr>
          <w:trHeight w:val="259"/>
        </w:trPr>
        <w:tc>
          <w:tcPr>
            <w:tcW w:w="4960" w:type="dxa"/>
            <w:vAlign w:val="bottom"/>
            <w:tcBorders>
              <w:top w:val="single" w:sz="8" w:color="E6E7E8"/>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Ending balance</w:t>
            </w:r>
          </w:p>
        </w:tc>
        <w:tc>
          <w:tcPr>
            <w:tcW w:w="240" w:type="dxa"/>
            <w:vAlign w:val="bottom"/>
            <w:tcBorders>
              <w:top w:val="single" w:sz="8" w:color="231F20"/>
              <w:bottom w:val="single" w:sz="8" w:color="231F20"/>
            </w:tcBorders>
            <w:gridSpan w:val="2"/>
            <w:shd w:val="clear" w:color="auto" w:fill="E6E7E8"/>
          </w:tcPr>
          <w:p>
            <w:pPr>
              <w:jc w:val="right"/>
              <w:ind w:right="5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E6E7E8"/>
          </w:tcPr>
          <w:p>
            <w:pPr>
              <w:jc w:val="right"/>
              <w:ind w:right="9"/>
              <w:spacing w:after="0"/>
              <w:rPr>
                <w:sz w:val="20"/>
                <w:szCs w:val="20"/>
                <w:color w:val="auto"/>
              </w:rPr>
            </w:pPr>
            <w:r>
              <w:rPr>
                <w:rFonts w:ascii="Times New Roman" w:cs="Times New Roman" w:eastAsia="Times New Roman" w:hAnsi="Times New Roman"/>
                <w:sz w:val="20"/>
                <w:szCs w:val="20"/>
                <w:color w:val="231F20"/>
              </w:rPr>
              <w:t>18,783</w:t>
            </w:r>
          </w:p>
        </w:tc>
        <w:tc>
          <w:tcPr>
            <w:tcW w:w="20" w:type="dxa"/>
            <w:vAlign w:val="bottom"/>
            <w:tcBorders>
              <w:top w:val="single" w:sz="8" w:color="E6E7E8"/>
              <w:bottom w:val="single" w:sz="8" w:color="E6E7E8"/>
            </w:tcBorders>
            <w:shd w:val="clear" w:color="auto" w:fill="E6E7E8"/>
          </w:tcPr>
          <w:p>
            <w:pPr>
              <w:spacing w:after="0"/>
              <w:rPr>
                <w:sz w:val="22"/>
                <w:szCs w:val="22"/>
                <w:color w:val="auto"/>
              </w:rPr>
            </w:pPr>
          </w:p>
        </w:tc>
        <w:tc>
          <w:tcPr>
            <w:tcW w:w="100" w:type="dxa"/>
            <w:vAlign w:val="bottom"/>
            <w:tcBorders>
              <w:top w:val="single" w:sz="8" w:color="E6E7E8"/>
              <w:bottom w:val="single" w:sz="8" w:color="E6E7E8"/>
            </w:tcBorders>
            <w:shd w:val="clear" w:color="auto" w:fill="E6E7E8"/>
          </w:tcPr>
          <w:p>
            <w:pPr>
              <w:spacing w:after="0"/>
              <w:rPr>
                <w:sz w:val="22"/>
                <w:szCs w:val="22"/>
                <w:color w:val="auto"/>
              </w:rPr>
            </w:pPr>
          </w:p>
        </w:tc>
        <w:tc>
          <w:tcPr>
            <w:tcW w:w="220" w:type="dxa"/>
            <w:vAlign w:val="bottom"/>
            <w:tcBorders>
              <w:top w:val="single" w:sz="8" w:color="231F20"/>
              <w:bottom w:val="single" w:sz="8" w:color="231F20"/>
            </w:tcBorders>
            <w:gridSpan w:val="2"/>
            <w:shd w:val="clear" w:color="auto" w:fill="E6E7E8"/>
          </w:tcPr>
          <w:p>
            <w:pPr>
              <w:jc w:val="right"/>
              <w:ind w:right="3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18,783</w:t>
            </w:r>
          </w:p>
        </w:tc>
        <w:tc>
          <w:tcPr>
            <w:tcW w:w="20" w:type="dxa"/>
            <w:vAlign w:val="bottom"/>
            <w:tcBorders>
              <w:top w:val="single" w:sz="8" w:color="E6E7E8"/>
              <w:bottom w:val="single" w:sz="8" w:color="E6E7E8"/>
            </w:tcBorders>
            <w:shd w:val="clear" w:color="auto" w:fill="E6E7E8"/>
          </w:tcPr>
          <w:p>
            <w:pPr>
              <w:spacing w:after="0"/>
              <w:rPr>
                <w:sz w:val="22"/>
                <w:szCs w:val="22"/>
                <w:color w:val="auto"/>
              </w:rPr>
            </w:pPr>
          </w:p>
        </w:tc>
        <w:tc>
          <w:tcPr>
            <w:tcW w:w="100" w:type="dxa"/>
            <w:vAlign w:val="bottom"/>
            <w:tcBorders>
              <w:top w:val="single" w:sz="8" w:color="E6E7E8"/>
              <w:bottom w:val="single" w:sz="8" w:color="E6E7E8"/>
            </w:tcBorders>
            <w:shd w:val="clear" w:color="auto" w:fill="E6E7E8"/>
          </w:tcPr>
          <w:p>
            <w:pPr>
              <w:spacing w:after="0"/>
              <w:rPr>
                <w:sz w:val="22"/>
                <w:szCs w:val="22"/>
                <w:color w:val="auto"/>
              </w:rPr>
            </w:pPr>
          </w:p>
        </w:tc>
        <w:tc>
          <w:tcPr>
            <w:tcW w:w="300" w:type="dxa"/>
            <w:vAlign w:val="bottom"/>
            <w:tcBorders>
              <w:top w:val="single" w:sz="8" w:color="231F20"/>
              <w:bottom w:val="single" w:sz="8" w:color="231F20"/>
            </w:tcBorders>
            <w:gridSpan w:val="2"/>
            <w:shd w:val="clear" w:color="auto" w:fill="E6E7E8"/>
          </w:tcPr>
          <w:p>
            <w:pPr>
              <w:jc w:val="right"/>
              <w:ind w:right="104"/>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18,783</w:t>
            </w:r>
          </w:p>
        </w:tc>
        <w:tc>
          <w:tcPr>
            <w:tcW w:w="20" w:type="dxa"/>
            <w:vAlign w:val="bottom"/>
            <w:tcBorders>
              <w:top w:val="single" w:sz="8" w:color="231F20"/>
              <w:bottom w:val="single" w:sz="8" w:color="231F20"/>
            </w:tcBorders>
            <w:shd w:val="clear" w:color="auto" w:fill="E6E7E8"/>
          </w:tcPr>
          <w:p>
            <w:pPr>
              <w:spacing w:after="0"/>
              <w:rPr>
                <w:sz w:val="22"/>
                <w:szCs w:val="22"/>
                <w:color w:val="auto"/>
              </w:rPr>
            </w:pPr>
          </w:p>
        </w:tc>
        <w:tc>
          <w:tcPr>
            <w:tcW w:w="60" w:type="dxa"/>
            <w:vAlign w:val="bottom"/>
            <w:tcBorders>
              <w:top w:val="single" w:sz="8" w:color="231F20"/>
              <w:bottom w:val="single" w:sz="8" w:color="231F20"/>
            </w:tcBorders>
            <w:shd w:val="clear" w:color="auto" w:fill="E6E7E8"/>
          </w:tcPr>
          <w:p>
            <w:pPr>
              <w:spacing w:after="0"/>
              <w:rPr>
                <w:sz w:val="22"/>
                <w:szCs w:val="22"/>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-2480945</wp:posOffset>
            </wp:positionV>
            <wp:extent cx="233235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2332355" cy="38100"/>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-1096645</wp:posOffset>
            </wp:positionV>
            <wp:extent cx="232092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2320925" cy="38100"/>
                    </a:xfrm>
                    <a:prstGeom prst="rect">
                      <a:avLst/>
                    </a:prstGeom>
                    <a:noFill/>
                  </pic:spPr>
                </pic:pic>
              </a:graphicData>
            </a:graphic>
          </wp:anchor>
        </w:drawing>
      </w:r>
    </w:p>
    <w:p>
      <w:pPr>
        <w:spacing w:after="0" w:line="237"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Company is amortizing the identifiable intangible assets on a straight-line basis over estimated average lives ranging from 3 to 12 years. Identifiable intangible assets were comprised of the following as of December 31, 2025 and 2024:</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231F20"/>
              </w:rPr>
              <w:t>As of December 31, 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74"/>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ind w:left="160"/>
              <w:spacing w:after="0" w:line="174" w:lineRule="exact"/>
              <w:rPr>
                <w:sz w:val="20"/>
                <w:szCs w:val="20"/>
                <w:color w:val="auto"/>
              </w:rPr>
            </w:pPr>
            <w:r>
              <w:rPr>
                <w:rFonts w:ascii="Times New Roman" w:cs="Times New Roman" w:eastAsia="Times New Roman" w:hAnsi="Times New Roman"/>
                <w:sz w:val="16"/>
                <w:szCs w:val="16"/>
                <w:b w:val="1"/>
                <w:bCs w:val="1"/>
                <w:color w:val="231F20"/>
              </w:rPr>
              <w:t>Gross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 (In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Accumulative</w:t>
            </w:r>
          </w:p>
        </w:tc>
        <w:tc>
          <w:tcPr>
            <w:tcW w:w="12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8"/>
              </w:rPr>
              <w:t>Net Carrying</w:t>
            </w:r>
          </w:p>
        </w:tc>
      </w:tr>
      <w:tr>
        <w:trPr>
          <w:trHeight w:val="203"/>
        </w:trPr>
        <w:tc>
          <w:tcPr>
            <w:tcW w:w="48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120" w:type="dxa"/>
            <w:vAlign w:val="bottom"/>
            <w:tcBorders>
              <w:bottom w:val="single" w:sz="8" w:color="E6E7E8"/>
            </w:tcBorders>
          </w:tcPr>
          <w:p>
            <w:pPr>
              <w:spacing w:after="0"/>
              <w:rPr>
                <w:sz w:val="17"/>
                <w:szCs w:val="17"/>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Years)</w:t>
            </w:r>
          </w:p>
        </w:tc>
        <w:tc>
          <w:tcPr>
            <w:tcW w:w="12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120" w:type="dxa"/>
            <w:vAlign w:val="bottom"/>
            <w:tcBorders>
              <w:bottom w:val="single" w:sz="8" w:color="E6E7E8"/>
            </w:tcBorders>
          </w:tcPr>
          <w:p>
            <w:pPr>
              <w:spacing w:after="0"/>
              <w:rPr>
                <w:sz w:val="17"/>
                <w:szCs w:val="17"/>
                <w:color w:val="auto"/>
              </w:rPr>
            </w:pPr>
          </w:p>
        </w:tc>
        <w:tc>
          <w:tcPr>
            <w:tcW w:w="114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120" w:type="dxa"/>
            <w:vAlign w:val="bottom"/>
            <w:tcBorders>
              <w:bottom w:val="single" w:sz="8" w:color="E6E7E8"/>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239"/>
        </w:trPr>
        <w:tc>
          <w:tcPr>
            <w:tcW w:w="48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IT Staffing Services:</w:t>
            </w:r>
          </w:p>
        </w:tc>
        <w:tc>
          <w:tcPr>
            <w:tcW w:w="120" w:type="dxa"/>
            <w:vAlign w:val="bottom"/>
            <w:shd w:val="clear" w:color="auto" w:fill="E6E7E8"/>
          </w:tcPr>
          <w:p>
            <w:pPr>
              <w:spacing w:after="0"/>
              <w:rPr>
                <w:sz w:val="20"/>
                <w:szCs w:val="20"/>
                <w:color w:val="auto"/>
              </w:rPr>
            </w:pPr>
          </w:p>
        </w:tc>
        <w:tc>
          <w:tcPr>
            <w:tcW w:w="106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86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4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Client relationships</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7,999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7,028</w:t>
            </w:r>
          </w:p>
        </w:tc>
        <w:tc>
          <w:tcPr>
            <w:tcW w:w="120" w:type="dxa"/>
            <w:vAlign w:val="bottom"/>
          </w:tcPr>
          <w:p>
            <w:pPr>
              <w:spacing w:after="0"/>
              <w:rPr>
                <w:sz w:val="21"/>
                <w:szCs w:val="21"/>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971</w:t>
            </w:r>
          </w:p>
        </w:tc>
        <w:tc>
          <w:tcPr>
            <w:tcW w:w="60" w:type="dxa"/>
            <w:vAlign w:val="bottom"/>
          </w:tcPr>
          <w:p>
            <w:pPr>
              <w:spacing w:after="0"/>
              <w:rPr>
                <w:sz w:val="21"/>
                <w:szCs w:val="21"/>
                <w:color w:val="auto"/>
              </w:rPr>
            </w:pPr>
          </w:p>
        </w:tc>
      </w:tr>
      <w:tr>
        <w:trPr>
          <w:trHeight w:val="244"/>
        </w:trPr>
        <w:tc>
          <w:tcPr>
            <w:tcW w:w="48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Covenant-not-to-compete</w:t>
            </w:r>
          </w:p>
        </w:tc>
        <w:tc>
          <w:tcPr>
            <w:tcW w:w="1180" w:type="dxa"/>
            <w:vAlign w:val="bottom"/>
            <w:gridSpan w:val="2"/>
            <w:shd w:val="clear" w:color="auto" w:fill="E6E7E8"/>
          </w:tcPr>
          <w:p>
            <w:pPr>
              <w:jc w:val="center"/>
              <w:ind w:left="20"/>
              <w:spacing w:after="0"/>
              <w:rPr>
                <w:sz w:val="20"/>
                <w:szCs w:val="20"/>
                <w:color w:val="auto"/>
              </w:rPr>
            </w:pPr>
            <w:r>
              <w:rPr>
                <w:rFonts w:ascii="Times New Roman" w:cs="Times New Roman" w:eastAsia="Times New Roman" w:hAnsi="Times New Roman"/>
                <w:sz w:val="20"/>
                <w:szCs w:val="20"/>
                <w:color w:val="231F20"/>
                <w:w w:val="99"/>
              </w:rPr>
              <w:t>5</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319</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319</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0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Trade name</w:t>
            </w:r>
          </w:p>
        </w:tc>
        <w:tc>
          <w:tcPr>
            <w:tcW w:w="11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8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Data and Analytics Services:</w:t>
            </w:r>
          </w:p>
        </w:tc>
        <w:tc>
          <w:tcPr>
            <w:tcW w:w="120" w:type="dxa"/>
            <w:vAlign w:val="bottom"/>
            <w:shd w:val="clear" w:color="auto" w:fill="E6E7E8"/>
          </w:tcPr>
          <w:p>
            <w:pPr>
              <w:spacing w:after="0"/>
              <w:rPr>
                <w:sz w:val="21"/>
                <w:szCs w:val="21"/>
                <w:color w:val="auto"/>
              </w:rPr>
            </w:pPr>
          </w:p>
        </w:tc>
        <w:tc>
          <w:tcPr>
            <w:tcW w:w="10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Client relationships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19,641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13,050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6,591</w:t>
            </w:r>
          </w:p>
        </w:tc>
        <w:tc>
          <w:tcPr>
            <w:tcW w:w="60" w:type="dxa"/>
            <w:vAlign w:val="bottom"/>
          </w:tcPr>
          <w:p>
            <w:pPr>
              <w:spacing w:after="0"/>
              <w:rPr>
                <w:sz w:val="21"/>
                <w:szCs w:val="21"/>
                <w:color w:val="auto"/>
              </w:rPr>
            </w:pPr>
          </w:p>
        </w:tc>
      </w:tr>
      <w:tr>
        <w:trPr>
          <w:trHeight w:val="244"/>
        </w:trPr>
        <w:tc>
          <w:tcPr>
            <w:tcW w:w="48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Covenant-not-to-compete</w:t>
            </w:r>
          </w:p>
        </w:tc>
        <w:tc>
          <w:tcPr>
            <w:tcW w:w="1180" w:type="dxa"/>
            <w:vAlign w:val="bottom"/>
            <w:gridSpan w:val="2"/>
            <w:shd w:val="clear" w:color="auto" w:fill="E6E7E8"/>
          </w:tcPr>
          <w:p>
            <w:pPr>
              <w:jc w:val="center"/>
              <w:ind w:left="20"/>
              <w:spacing w:after="0"/>
              <w:rPr>
                <w:sz w:val="20"/>
                <w:szCs w:val="20"/>
                <w:color w:val="auto"/>
              </w:rPr>
            </w:pPr>
            <w:r>
              <w:rPr>
                <w:rFonts w:ascii="Times New Roman" w:cs="Times New Roman" w:eastAsia="Times New Roman" w:hAnsi="Times New Roman"/>
                <w:sz w:val="20"/>
                <w:szCs w:val="20"/>
                <w:color w:val="231F20"/>
                <w:w w:val="99"/>
              </w:rPr>
              <w:t>5</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1,201</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1,201</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0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Trade name</w:t>
            </w:r>
          </w:p>
        </w:tc>
        <w:tc>
          <w:tcPr>
            <w:tcW w:w="11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1,711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480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Technology</w:t>
            </w:r>
          </w:p>
        </w:tc>
        <w:tc>
          <w:tcPr>
            <w:tcW w:w="1180" w:type="dxa"/>
            <w:vAlign w:val="bottom"/>
            <w:tcBorders>
              <w:bottom w:val="single" w:sz="8" w:color="E6E7E8"/>
            </w:tcBorders>
            <w:gridSpan w:val="2"/>
            <w:shd w:val="clear" w:color="auto" w:fill="E6E7E8"/>
          </w:tcPr>
          <w:p>
            <w:pPr>
              <w:jc w:val="center"/>
              <w:ind w:left="20"/>
              <w:spacing w:after="0"/>
              <w:rPr>
                <w:sz w:val="20"/>
                <w:szCs w:val="20"/>
                <w:color w:val="auto"/>
              </w:rPr>
            </w:pPr>
            <w:r>
              <w:rPr>
                <w:rFonts w:ascii="Times New Roman" w:cs="Times New Roman" w:eastAsia="Times New Roman" w:hAnsi="Times New Roman"/>
                <w:sz w:val="20"/>
                <w:szCs w:val="20"/>
                <w:color w:val="231F20"/>
                <w:w w:val="99"/>
              </w:rPr>
              <w:t>7</w:t>
            </w:r>
          </w:p>
        </w:tc>
        <w:tc>
          <w:tcPr>
            <w:tcW w:w="120" w:type="dxa"/>
            <w:vAlign w:val="bottom"/>
            <w:tcBorders>
              <w:bottom w:val="single" w:sz="8" w:color="E6E7E8"/>
            </w:tcBorders>
            <w:shd w:val="clear" w:color="auto" w:fill="E6E7E8"/>
          </w:tcPr>
          <w:p>
            <w:pPr>
              <w:spacing w:after="0"/>
              <w:rPr>
                <w:sz w:val="22"/>
                <w:szCs w:val="22"/>
                <w:color w:val="auto"/>
              </w:rPr>
            </w:pPr>
          </w:p>
        </w:tc>
        <w:tc>
          <w:tcPr>
            <w:tcW w:w="160" w:type="dxa"/>
            <w:vAlign w:val="bottom"/>
            <w:tcBorders>
              <w:bottom w:val="single" w:sz="8" w:color="231F20"/>
            </w:tcBorders>
            <w:shd w:val="clear" w:color="auto" w:fill="E6E7E8"/>
          </w:tcPr>
          <w:p>
            <w:pPr>
              <w:spacing w:after="0"/>
              <w:rPr>
                <w:sz w:val="22"/>
                <w:szCs w:val="22"/>
                <w:color w:val="auto"/>
              </w:rPr>
            </w:pPr>
          </w:p>
        </w:tc>
        <w:tc>
          <w:tcPr>
            <w:tcW w:w="980" w:type="dxa"/>
            <w:vAlign w:val="bottom"/>
            <w:tcBorders>
              <w:bottom w:val="single" w:sz="8" w:color="231F20"/>
            </w:tcBorders>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1,979</w:t>
            </w:r>
          </w:p>
        </w:tc>
        <w:tc>
          <w:tcPr>
            <w:tcW w:w="12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860" w:type="dxa"/>
            <w:vAlign w:val="bottom"/>
            <w:tcBorders>
              <w:bottom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1,786</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8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60" w:type="dxa"/>
            <w:vAlign w:val="bottom"/>
            <w:tcBorders>
              <w:bottom w:val="single" w:sz="8" w:color="231F20"/>
            </w:tcBorders>
            <w:shd w:val="clear" w:color="auto" w:fill="E6E7E8"/>
          </w:tcPr>
          <w:p>
            <w:pPr>
              <w:spacing w:after="0"/>
              <w:rPr>
                <w:sz w:val="22"/>
                <w:szCs w:val="22"/>
                <w:color w:val="auto"/>
              </w:rPr>
            </w:pPr>
          </w:p>
        </w:tc>
      </w:tr>
      <w:tr>
        <w:trPr>
          <w:trHeight w:val="219"/>
        </w:trPr>
        <w:tc>
          <w:tcPr>
            <w:tcW w:w="480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b w:val="1"/>
                <w:bCs w:val="1"/>
                <w:color w:val="231F20"/>
              </w:rPr>
              <w:t>Total Intangible Assets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ind w:right="7"/>
              <w:spacing w:after="0" w:line="219" w:lineRule="exact"/>
              <w:rPr>
                <w:sz w:val="20"/>
                <w:szCs w:val="20"/>
                <w:color w:val="auto"/>
              </w:rPr>
            </w:pPr>
            <w:r>
              <w:rPr>
                <w:rFonts w:ascii="Times New Roman" w:cs="Times New Roman" w:eastAsia="Times New Roman" w:hAnsi="Times New Roman"/>
                <w:sz w:val="20"/>
                <w:szCs w:val="20"/>
                <w:color w:val="231F20"/>
              </w:rPr>
              <w:t>33,099</w:t>
            </w:r>
          </w:p>
        </w:tc>
        <w:tc>
          <w:tcPr>
            <w:tcW w:w="120" w:type="dxa"/>
            <w:vAlign w:val="bottom"/>
          </w:tcPr>
          <w:p>
            <w:pPr>
              <w:spacing w:after="0"/>
              <w:rPr>
                <w:sz w:val="19"/>
                <w:szCs w:val="19"/>
                <w:color w:val="auto"/>
              </w:rPr>
            </w:pPr>
          </w:p>
        </w:tc>
        <w:tc>
          <w:tcPr>
            <w:tcW w:w="280" w:type="dxa"/>
            <w:vAlign w:val="bottom"/>
            <w:tcBorders>
              <w:bottom w:val="single" w:sz="8" w:color="231F20"/>
            </w:tcBorders>
          </w:tcPr>
          <w:p>
            <w:pPr>
              <w:jc w:val="right"/>
              <w:ind w:right="9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25,344</w:t>
            </w:r>
          </w:p>
        </w:tc>
        <w:tc>
          <w:tcPr>
            <w:tcW w:w="120" w:type="dxa"/>
            <w:vAlign w:val="bottom"/>
          </w:tcPr>
          <w:p>
            <w:pPr>
              <w:spacing w:after="0"/>
              <w:rPr>
                <w:sz w:val="19"/>
                <w:szCs w:val="19"/>
                <w:color w:val="auto"/>
              </w:rPr>
            </w:pPr>
          </w:p>
        </w:tc>
        <w:tc>
          <w:tcPr>
            <w:tcW w:w="200" w:type="dxa"/>
            <w:vAlign w:val="bottom"/>
            <w:tcBorders>
              <w:bottom w:val="single" w:sz="8" w:color="231F20"/>
            </w:tcBorders>
          </w:tcPr>
          <w:p>
            <w:pPr>
              <w:jc w:val="right"/>
              <w:ind w:right="7"/>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7,755</w:t>
            </w:r>
          </w:p>
        </w:tc>
        <w:tc>
          <w:tcPr>
            <w:tcW w:w="60" w:type="dxa"/>
            <w:vAlign w:val="bottom"/>
            <w:tcBorders>
              <w:bottom w:val="single" w:sz="8" w:color="231F20"/>
            </w:tcBorders>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-1979295</wp:posOffset>
            </wp:positionV>
            <wp:extent cx="304609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3046095" cy="38100"/>
                    </a:xfrm>
                    <a:prstGeom prst="rect">
                      <a:avLst/>
                    </a:prstGeom>
                    <a:noFill/>
                  </pic:spPr>
                </pic:pic>
              </a:graphicData>
            </a:graphic>
          </wp:anchor>
        </w:drawing>
      </w:r>
    </w:p>
    <w:p>
      <w:pPr>
        <w:sectPr>
          <w:pgSz w:w="11880" w:h="15480" w:orient="portrait"/>
          <w:cols w:equalWidth="0" w:num="1">
            <w:col w:w="10780"/>
          </w:cols>
          <w:pgMar w:left="540" w:top="102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780"/>
          </w:cols>
          <w:pgMar w:left="540" w:top="1026" w:right="560" w:bottom="0" w:gutter="0" w:footer="0" w:header="0"/>
          <w:type w:val="continuous"/>
        </w:sectPr>
      </w:pPr>
    </w:p>
    <w:bookmarkStart w:id="67" w:name="page68"/>
    <w:bookmarkEnd w:id="67"/>
    <w:tbl>
      <w:tblPr>
        <w:tblLayout w:type="fixed"/>
        <w:tblInd w:w="54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231F20"/>
              </w:rPr>
              <w:t>As of December 31, 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74"/>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Amortization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ind w:left="160"/>
              <w:spacing w:after="0" w:line="174" w:lineRule="exact"/>
              <w:rPr>
                <w:sz w:val="20"/>
                <w:szCs w:val="20"/>
                <w:color w:val="auto"/>
              </w:rPr>
            </w:pPr>
            <w:r>
              <w:rPr>
                <w:rFonts w:ascii="Times New Roman" w:cs="Times New Roman" w:eastAsia="Times New Roman" w:hAnsi="Times New Roman"/>
                <w:sz w:val="16"/>
                <w:szCs w:val="16"/>
                <w:b w:val="1"/>
                <w:bCs w:val="1"/>
                <w:color w:val="231F20"/>
              </w:rPr>
              <w:t>Gross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4"/>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Period (In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231F20"/>
              </w:rPr>
              <w:t>Carrying</w:t>
            </w: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Accumulative</w:t>
            </w:r>
          </w:p>
        </w:tc>
        <w:tc>
          <w:tcPr>
            <w:tcW w:w="12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8"/>
              </w:rPr>
              <w:t>Net Carrying</w:t>
            </w:r>
          </w:p>
        </w:tc>
      </w:tr>
      <w:tr>
        <w:trPr>
          <w:trHeight w:val="203"/>
        </w:trPr>
        <w:tc>
          <w:tcPr>
            <w:tcW w:w="48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120" w:type="dxa"/>
            <w:vAlign w:val="bottom"/>
            <w:tcBorders>
              <w:bottom w:val="single" w:sz="8" w:color="E6E7E8"/>
            </w:tcBorders>
          </w:tcPr>
          <w:p>
            <w:pPr>
              <w:spacing w:after="0"/>
              <w:rPr>
                <w:sz w:val="17"/>
                <w:szCs w:val="17"/>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Years)</w:t>
            </w:r>
          </w:p>
        </w:tc>
        <w:tc>
          <w:tcPr>
            <w:tcW w:w="12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120" w:type="dxa"/>
            <w:vAlign w:val="bottom"/>
            <w:tcBorders>
              <w:bottom w:val="single" w:sz="8" w:color="E6E7E8"/>
            </w:tcBorders>
          </w:tcPr>
          <w:p>
            <w:pPr>
              <w:spacing w:after="0"/>
              <w:rPr>
                <w:sz w:val="17"/>
                <w:szCs w:val="17"/>
                <w:color w:val="auto"/>
              </w:rPr>
            </w:pPr>
          </w:p>
        </w:tc>
        <w:tc>
          <w:tcPr>
            <w:tcW w:w="1140" w:type="dxa"/>
            <w:vAlign w:val="bottom"/>
            <w:tcBorders>
              <w:bottom w:val="single" w:sz="8" w:color="231F20"/>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120" w:type="dxa"/>
            <w:vAlign w:val="bottom"/>
            <w:tcBorders>
              <w:bottom w:val="single" w:sz="8" w:color="E6E7E8"/>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w w:val="99"/>
              </w:rPr>
              <w:t>Value</w:t>
            </w:r>
          </w:p>
        </w:tc>
      </w:tr>
      <w:tr>
        <w:trPr>
          <w:trHeight w:val="239"/>
        </w:trPr>
        <w:tc>
          <w:tcPr>
            <w:tcW w:w="48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IT Staffing Services:</w:t>
            </w:r>
          </w:p>
        </w:tc>
        <w:tc>
          <w:tcPr>
            <w:tcW w:w="120" w:type="dxa"/>
            <w:vAlign w:val="bottom"/>
            <w:shd w:val="clear" w:color="auto" w:fill="E6E7E8"/>
          </w:tcPr>
          <w:p>
            <w:pPr>
              <w:spacing w:after="0"/>
              <w:rPr>
                <w:sz w:val="20"/>
                <w:szCs w:val="20"/>
                <w:color w:val="auto"/>
              </w:rPr>
            </w:pPr>
          </w:p>
        </w:tc>
        <w:tc>
          <w:tcPr>
            <w:tcW w:w="106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98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280" w:type="dxa"/>
            <w:vAlign w:val="bottom"/>
            <w:shd w:val="clear" w:color="auto" w:fill="E6E7E8"/>
          </w:tcPr>
          <w:p>
            <w:pPr>
              <w:spacing w:after="0"/>
              <w:rPr>
                <w:sz w:val="20"/>
                <w:szCs w:val="20"/>
                <w:color w:val="auto"/>
              </w:rPr>
            </w:pPr>
          </w:p>
        </w:tc>
        <w:tc>
          <w:tcPr>
            <w:tcW w:w="86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200" w:type="dxa"/>
            <w:vAlign w:val="bottom"/>
            <w:shd w:val="clear" w:color="auto" w:fill="E6E7E8"/>
          </w:tcPr>
          <w:p>
            <w:pPr>
              <w:spacing w:after="0"/>
              <w:rPr>
                <w:sz w:val="20"/>
                <w:szCs w:val="20"/>
                <w:color w:val="auto"/>
              </w:rPr>
            </w:pPr>
          </w:p>
        </w:tc>
        <w:tc>
          <w:tcPr>
            <w:tcW w:w="840" w:type="dxa"/>
            <w:vAlign w:val="bottom"/>
            <w:shd w:val="clear" w:color="auto" w:fill="E6E7E8"/>
          </w:tcPr>
          <w:p>
            <w:pPr>
              <w:spacing w:after="0"/>
              <w:rPr>
                <w:sz w:val="20"/>
                <w:szCs w:val="20"/>
                <w:color w:val="auto"/>
              </w:rPr>
            </w:pPr>
          </w:p>
        </w:tc>
        <w:tc>
          <w:tcPr>
            <w:tcW w:w="60" w:type="dxa"/>
            <w:vAlign w:val="bottom"/>
            <w:shd w:val="clear" w:color="auto" w:fill="E6E7E8"/>
          </w:tcPr>
          <w:p>
            <w:pPr>
              <w:spacing w:after="0"/>
              <w:rPr>
                <w:sz w:val="20"/>
                <w:szCs w:val="20"/>
                <w:color w:val="auto"/>
              </w:rPr>
            </w:pP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Client relationships</w:t>
            </w:r>
          </w:p>
        </w:tc>
        <w:tc>
          <w:tcPr>
            <w:tcW w:w="1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7,999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6,361</w:t>
            </w:r>
          </w:p>
        </w:tc>
        <w:tc>
          <w:tcPr>
            <w:tcW w:w="120" w:type="dxa"/>
            <w:vAlign w:val="bottom"/>
          </w:tcPr>
          <w:p>
            <w:pPr>
              <w:spacing w:after="0"/>
              <w:rPr>
                <w:sz w:val="21"/>
                <w:szCs w:val="21"/>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1,638</w:t>
            </w:r>
          </w:p>
        </w:tc>
        <w:tc>
          <w:tcPr>
            <w:tcW w:w="60" w:type="dxa"/>
            <w:vAlign w:val="bottom"/>
          </w:tcPr>
          <w:p>
            <w:pPr>
              <w:spacing w:after="0"/>
              <w:rPr>
                <w:sz w:val="21"/>
                <w:szCs w:val="21"/>
                <w:color w:val="auto"/>
              </w:rPr>
            </w:pPr>
          </w:p>
        </w:tc>
      </w:tr>
      <w:tr>
        <w:trPr>
          <w:trHeight w:val="244"/>
        </w:trPr>
        <w:tc>
          <w:tcPr>
            <w:tcW w:w="48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Covenant-not-to-compete</w:t>
            </w:r>
          </w:p>
        </w:tc>
        <w:tc>
          <w:tcPr>
            <w:tcW w:w="1180" w:type="dxa"/>
            <w:vAlign w:val="bottom"/>
            <w:gridSpan w:val="2"/>
            <w:shd w:val="clear" w:color="auto" w:fill="E6E7E8"/>
          </w:tcPr>
          <w:p>
            <w:pPr>
              <w:jc w:val="center"/>
              <w:ind w:left="20"/>
              <w:spacing w:after="0"/>
              <w:rPr>
                <w:sz w:val="20"/>
                <w:szCs w:val="20"/>
                <w:color w:val="auto"/>
              </w:rPr>
            </w:pPr>
            <w:r>
              <w:rPr>
                <w:rFonts w:ascii="Times New Roman" w:cs="Times New Roman" w:eastAsia="Times New Roman" w:hAnsi="Times New Roman"/>
                <w:sz w:val="20"/>
                <w:szCs w:val="20"/>
                <w:color w:val="231F20"/>
                <w:w w:val="99"/>
              </w:rPr>
              <w:t>5</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319</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319</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00" w:type="dxa"/>
            <w:vAlign w:val="bottom"/>
            <w:gridSpan w:val="2"/>
            <w:shd w:val="clear" w:color="auto" w:fill="E6E7E8"/>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Trade name</w:t>
            </w:r>
          </w:p>
        </w:tc>
        <w:tc>
          <w:tcPr>
            <w:tcW w:w="11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8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Data and Analytics Services:</w:t>
            </w:r>
          </w:p>
        </w:tc>
        <w:tc>
          <w:tcPr>
            <w:tcW w:w="120" w:type="dxa"/>
            <w:vAlign w:val="bottom"/>
            <w:shd w:val="clear" w:color="auto" w:fill="E6E7E8"/>
          </w:tcPr>
          <w:p>
            <w:pPr>
              <w:spacing w:after="0"/>
              <w:rPr>
                <w:sz w:val="21"/>
                <w:szCs w:val="21"/>
                <w:color w:val="auto"/>
              </w:rPr>
            </w:pPr>
          </w:p>
        </w:tc>
        <w:tc>
          <w:tcPr>
            <w:tcW w:w="10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60" w:type="dxa"/>
            <w:vAlign w:val="bottom"/>
            <w:shd w:val="clear" w:color="auto" w:fill="E6E7E8"/>
          </w:tcPr>
          <w:p>
            <w:pPr>
              <w:spacing w:after="0"/>
              <w:rPr>
                <w:sz w:val="21"/>
                <w:szCs w:val="21"/>
                <w:color w:val="auto"/>
              </w:rPr>
            </w:pP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Client relationships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19,641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11,413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8,228</w:t>
            </w:r>
          </w:p>
        </w:tc>
        <w:tc>
          <w:tcPr>
            <w:tcW w:w="60" w:type="dxa"/>
            <w:vAlign w:val="bottom"/>
          </w:tcPr>
          <w:p>
            <w:pPr>
              <w:spacing w:after="0"/>
              <w:rPr>
                <w:sz w:val="21"/>
                <w:szCs w:val="21"/>
                <w:color w:val="auto"/>
              </w:rPr>
            </w:pPr>
          </w:p>
        </w:tc>
      </w:tr>
      <w:tr>
        <w:trPr>
          <w:trHeight w:val="244"/>
        </w:trPr>
        <w:tc>
          <w:tcPr>
            <w:tcW w:w="48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Covenant-not-to-compete</w:t>
            </w:r>
          </w:p>
        </w:tc>
        <w:tc>
          <w:tcPr>
            <w:tcW w:w="1180" w:type="dxa"/>
            <w:vAlign w:val="bottom"/>
            <w:gridSpan w:val="2"/>
            <w:shd w:val="clear" w:color="auto" w:fill="E6E7E8"/>
          </w:tcPr>
          <w:p>
            <w:pPr>
              <w:jc w:val="center"/>
              <w:ind w:left="20"/>
              <w:spacing w:after="0"/>
              <w:rPr>
                <w:sz w:val="20"/>
                <w:szCs w:val="20"/>
                <w:color w:val="auto"/>
              </w:rPr>
            </w:pPr>
            <w:r>
              <w:rPr>
                <w:rFonts w:ascii="Times New Roman" w:cs="Times New Roman" w:eastAsia="Times New Roman" w:hAnsi="Times New Roman"/>
                <w:sz w:val="20"/>
                <w:szCs w:val="20"/>
                <w:color w:val="231F20"/>
                <w:w w:val="99"/>
              </w:rPr>
              <w:t>5</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1,201</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1,135</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8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60" w:type="dxa"/>
            <w:vAlign w:val="bottom"/>
            <w:shd w:val="clear" w:color="auto" w:fill="E6E7E8"/>
          </w:tcPr>
          <w:p>
            <w:pPr>
              <w:spacing w:after="0"/>
              <w:rPr>
                <w:sz w:val="21"/>
                <w:szCs w:val="21"/>
                <w:color w:val="auto"/>
              </w:rPr>
            </w:pPr>
          </w:p>
        </w:tc>
      </w:tr>
      <w:tr>
        <w:trPr>
          <w:trHeight w:val="244"/>
        </w:trPr>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Trade name</w:t>
            </w:r>
          </w:p>
        </w:tc>
        <w:tc>
          <w:tcPr>
            <w:tcW w:w="11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1,711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1,637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60" w:type="dxa"/>
            <w:vAlign w:val="bottom"/>
          </w:tcPr>
          <w:p>
            <w:pPr>
              <w:spacing w:after="0"/>
              <w:rPr>
                <w:sz w:val="21"/>
                <w:szCs w:val="21"/>
                <w:color w:val="auto"/>
              </w:rPr>
            </w:pPr>
          </w:p>
        </w:tc>
      </w:tr>
      <w:tr>
        <w:trPr>
          <w:trHeight w:val="244"/>
        </w:trPr>
        <w:tc>
          <w:tcPr>
            <w:tcW w:w="480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Technology</w:t>
            </w:r>
          </w:p>
        </w:tc>
        <w:tc>
          <w:tcPr>
            <w:tcW w:w="1180" w:type="dxa"/>
            <w:vAlign w:val="bottom"/>
            <w:gridSpan w:val="2"/>
            <w:shd w:val="clear" w:color="auto" w:fill="E6E7E8"/>
          </w:tcPr>
          <w:p>
            <w:pPr>
              <w:jc w:val="center"/>
              <w:ind w:left="20"/>
              <w:spacing w:after="0"/>
              <w:rPr>
                <w:sz w:val="20"/>
                <w:szCs w:val="20"/>
                <w:color w:val="auto"/>
              </w:rPr>
            </w:pPr>
            <w:r>
              <w:rPr>
                <w:rFonts w:ascii="Times New Roman" w:cs="Times New Roman" w:eastAsia="Times New Roman" w:hAnsi="Times New Roman"/>
                <w:sz w:val="20"/>
                <w:szCs w:val="20"/>
                <w:color w:val="231F20"/>
                <w:w w:val="99"/>
              </w:rPr>
              <w:t>7</w:t>
            </w:r>
          </w:p>
        </w:tc>
        <w:tc>
          <w:tcPr>
            <w:tcW w:w="120" w:type="dxa"/>
            <w:vAlign w:val="bottom"/>
            <w:shd w:val="clear" w:color="auto" w:fill="E6E7E8"/>
          </w:tcPr>
          <w:p>
            <w:pPr>
              <w:spacing w:after="0"/>
              <w:rPr>
                <w:sz w:val="21"/>
                <w:szCs w:val="21"/>
                <w:color w:val="auto"/>
              </w:rPr>
            </w:pPr>
          </w:p>
        </w:tc>
        <w:tc>
          <w:tcPr>
            <w:tcW w:w="160" w:type="dxa"/>
            <w:vAlign w:val="bottom"/>
            <w:tcBorders>
              <w:bottom w:val="single" w:sz="8" w:color="231F20"/>
            </w:tcBorders>
            <w:shd w:val="clear" w:color="auto" w:fill="E6E7E8"/>
          </w:tcPr>
          <w:p>
            <w:pPr>
              <w:spacing w:after="0"/>
              <w:rPr>
                <w:sz w:val="21"/>
                <w:szCs w:val="21"/>
                <w:color w:val="auto"/>
              </w:rPr>
            </w:pPr>
          </w:p>
        </w:tc>
        <w:tc>
          <w:tcPr>
            <w:tcW w:w="980" w:type="dxa"/>
            <w:vAlign w:val="bottom"/>
            <w:tcBorders>
              <w:bottom w:val="single" w:sz="8" w:color="231F20"/>
            </w:tcBorders>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1,979</w:t>
            </w:r>
          </w:p>
        </w:tc>
        <w:tc>
          <w:tcPr>
            <w:tcW w:w="12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860" w:type="dxa"/>
            <w:vAlign w:val="bottom"/>
            <w:tcBorders>
              <w:bottom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1,677</w:t>
            </w:r>
          </w:p>
        </w:tc>
        <w:tc>
          <w:tcPr>
            <w:tcW w:w="120" w:type="dxa"/>
            <w:vAlign w:val="bottom"/>
            <w:shd w:val="clear" w:color="auto" w:fill="E6E7E8"/>
          </w:tcPr>
          <w:p>
            <w:pPr>
              <w:spacing w:after="0"/>
              <w:rPr>
                <w:sz w:val="21"/>
                <w:szCs w:val="21"/>
                <w:color w:val="auto"/>
              </w:rPr>
            </w:pPr>
          </w:p>
        </w:tc>
        <w:tc>
          <w:tcPr>
            <w:tcW w:w="200" w:type="dxa"/>
            <w:vAlign w:val="bottom"/>
            <w:tcBorders>
              <w:bottom w:val="single" w:sz="8" w:color="231F20"/>
            </w:tcBorders>
            <w:shd w:val="clear" w:color="auto" w:fill="E6E7E8"/>
          </w:tcPr>
          <w:p>
            <w:pPr>
              <w:spacing w:after="0"/>
              <w:rPr>
                <w:sz w:val="21"/>
                <w:szCs w:val="21"/>
                <w:color w:val="auto"/>
              </w:rPr>
            </w:pPr>
          </w:p>
        </w:tc>
        <w:tc>
          <w:tcPr>
            <w:tcW w:w="8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302</w:t>
            </w:r>
          </w:p>
        </w:tc>
        <w:tc>
          <w:tcPr>
            <w:tcW w:w="60" w:type="dxa"/>
            <w:vAlign w:val="bottom"/>
            <w:tcBorders>
              <w:bottom w:val="single" w:sz="8" w:color="231F20"/>
            </w:tcBorders>
            <w:shd w:val="clear" w:color="auto" w:fill="E6E7E8"/>
          </w:tcPr>
          <w:p>
            <w:pPr>
              <w:spacing w:after="0"/>
              <w:rPr>
                <w:sz w:val="21"/>
                <w:szCs w:val="21"/>
                <w:color w:val="auto"/>
              </w:rPr>
            </w:pPr>
          </w:p>
        </w:tc>
      </w:tr>
      <w:tr>
        <w:trPr>
          <w:trHeight w:val="239"/>
        </w:trPr>
        <w:tc>
          <w:tcPr>
            <w:tcW w:w="480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231F20"/>
              </w:rPr>
              <w:t>Total Intangible Assets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33,099</w:t>
            </w:r>
          </w:p>
        </w:tc>
        <w:tc>
          <w:tcPr>
            <w:tcW w:w="120" w:type="dxa"/>
            <w:vAlign w:val="bottom"/>
          </w:tcPr>
          <w:p>
            <w:pPr>
              <w:spacing w:after="0"/>
              <w:rPr>
                <w:sz w:val="20"/>
                <w:szCs w:val="20"/>
                <w:color w:val="auto"/>
              </w:rPr>
            </w:pPr>
          </w:p>
        </w:tc>
        <w:tc>
          <w:tcPr>
            <w:tcW w:w="280" w:type="dxa"/>
            <w:vAlign w:val="bottom"/>
            <w:tcBorders>
              <w:bottom w:val="single" w:sz="8" w:color="231F20"/>
            </w:tcBorders>
          </w:tcPr>
          <w:p>
            <w:pPr>
              <w:jc w:val="right"/>
              <w:ind w:right="9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22,791</w:t>
            </w:r>
          </w:p>
        </w:tc>
        <w:tc>
          <w:tcPr>
            <w:tcW w:w="120" w:type="dxa"/>
            <w:vAlign w:val="bottom"/>
          </w:tcPr>
          <w:p>
            <w:pPr>
              <w:spacing w:after="0"/>
              <w:rPr>
                <w:sz w:val="20"/>
                <w:szCs w:val="20"/>
                <w:color w:val="auto"/>
              </w:rPr>
            </w:pPr>
          </w:p>
        </w:tc>
        <w:tc>
          <w:tcPr>
            <w:tcW w:w="200" w:type="dxa"/>
            <w:vAlign w:val="bottom"/>
            <w:tcBorders>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10,308</w:t>
            </w:r>
          </w:p>
        </w:tc>
        <w:tc>
          <w:tcPr>
            <w:tcW w:w="60" w:type="dxa"/>
            <w:vAlign w:val="bottom"/>
            <w:tcBorders>
              <w:bottom w:val="single" w:sz="8" w:color="231F20"/>
            </w:tcBorders>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-1979295</wp:posOffset>
            </wp:positionV>
            <wp:extent cx="304609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3046095" cy="38100"/>
                    </a:xfrm>
                    <a:prstGeom prst="rect">
                      <a:avLst/>
                    </a:prstGeom>
                    <a:noFill/>
                  </pic:spPr>
                </pic:pic>
              </a:graphicData>
            </a:graphic>
          </wp:anchor>
        </w:drawing>
      </w:r>
    </w:p>
    <w:p>
      <w:pPr>
        <w:spacing w:after="0" w:line="237" w:lineRule="exact"/>
        <w:rPr>
          <w:sz w:val="20"/>
          <w:szCs w:val="20"/>
          <w:color w:val="auto"/>
        </w:rPr>
      </w:pPr>
    </w:p>
    <w:p>
      <w:pPr>
        <w:ind w:right="180" w:firstLine="490"/>
        <w:spacing w:after="0" w:line="305" w:lineRule="auto"/>
        <w:rPr>
          <w:sz w:val="20"/>
          <w:szCs w:val="20"/>
          <w:color w:val="auto"/>
        </w:rPr>
      </w:pPr>
      <w:r>
        <w:rPr>
          <w:rFonts w:ascii="Times New Roman" w:cs="Times New Roman" w:eastAsia="Times New Roman" w:hAnsi="Times New Roman"/>
          <w:sz w:val="19"/>
          <w:szCs w:val="19"/>
          <w:color w:val="231F20"/>
        </w:rPr>
        <w:t>Amortization expense for the three years ended December 31, 2025, 2024 and 2023 totaled $2.6 million, $2.7 million and $2.8 million, respectively and is included in selling, general and administrative expenses in the Consolidated Statement of Operations.</w:t>
      </w:r>
    </w:p>
    <w:p>
      <w:pPr>
        <w:spacing w:after="0" w:line="145"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The estimated aggregate amortization expense for intangible assets for the years ending December 31, 2026 through 2030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gridSpan w:val="6"/>
          </w:tcPr>
          <w:p>
            <w:pPr>
              <w:jc w:val="center"/>
              <w:ind w:left="415"/>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93"/>
        </w:trPr>
        <w:tc>
          <w:tcPr>
            <w:tcW w:w="48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2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231F20"/>
              </w:rPr>
              <w:t>2027</w:t>
            </w:r>
          </w:p>
        </w:tc>
        <w:tc>
          <w:tcPr>
            <w:tcW w:w="1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80" w:type="dxa"/>
            <w:vAlign w:val="bottom"/>
            <w:tcBorders>
              <w:bottom w:val="single" w:sz="8" w:color="231F20"/>
            </w:tcBorders>
          </w:tcPr>
          <w:p>
            <w:pPr>
              <w:jc w:val="center"/>
              <w:ind w:right="230"/>
              <w:spacing w:after="0"/>
              <w:rPr>
                <w:sz w:val="20"/>
                <w:szCs w:val="20"/>
                <w:color w:val="auto"/>
              </w:rPr>
            </w:pPr>
            <w:r>
              <w:rPr>
                <w:rFonts w:ascii="Times New Roman" w:cs="Times New Roman" w:eastAsia="Times New Roman" w:hAnsi="Times New Roman"/>
                <w:sz w:val="16"/>
                <w:szCs w:val="16"/>
                <w:b w:val="1"/>
                <w:bCs w:val="1"/>
                <w:color w:val="231F20"/>
                <w:w w:val="99"/>
              </w:rPr>
              <w:t>2028</w:t>
            </w:r>
          </w:p>
        </w:tc>
        <w:tc>
          <w:tcPr>
            <w:tcW w:w="12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2029</w:t>
            </w:r>
          </w:p>
        </w:tc>
        <w:tc>
          <w:tcPr>
            <w:tcW w:w="10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00" w:type="dxa"/>
            <w:vAlign w:val="bottom"/>
            <w:tcBorders>
              <w:bottom w:val="single" w:sz="8" w:color="231F20"/>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231F20"/>
              </w:rPr>
              <w:t>2030</w:t>
            </w:r>
          </w:p>
        </w:tc>
        <w:tc>
          <w:tcPr>
            <w:tcW w:w="60" w:type="dxa"/>
            <w:vAlign w:val="bottom"/>
            <w:tcBorders>
              <w:bottom w:val="single" w:sz="8" w:color="231F20"/>
            </w:tcBorders>
          </w:tcPr>
          <w:p>
            <w:pPr>
              <w:spacing w:after="0"/>
              <w:rPr>
                <w:sz w:val="16"/>
                <w:szCs w:val="16"/>
                <w:color w:val="auto"/>
              </w:rPr>
            </w:pPr>
          </w:p>
        </w:tc>
      </w:tr>
      <w:tr>
        <w:trPr>
          <w:trHeight w:val="188"/>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center"/>
              <w:ind w:left="435"/>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6"/>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expense</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2,413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20"/>
                <w:szCs w:val="20"/>
                <w:color w:val="231F20"/>
              </w:rPr>
              <w:t>2,025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1,637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20"/>
                <w:szCs w:val="20"/>
                <w:color w:val="231F20"/>
              </w:rPr>
              <w:t>1,000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-449580</wp:posOffset>
            </wp:positionV>
            <wp:extent cx="379222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3792220" cy="38100"/>
                    </a:xfrm>
                    <a:prstGeom prst="rect">
                      <a:avLst/>
                    </a:prstGeom>
                    <a:noFill/>
                  </pic:spPr>
                </pic:pic>
              </a:graphicData>
            </a:graphic>
          </wp:anchor>
        </w:drawing>
      </w:r>
    </w:p>
    <w:p>
      <w:pPr>
        <w:spacing w:after="0" w:line="336" w:lineRule="exact"/>
        <w:rPr>
          <w:sz w:val="20"/>
          <w:szCs w:val="20"/>
          <w:color w:val="auto"/>
        </w:rPr>
      </w:pPr>
    </w:p>
    <w:p>
      <w:pPr>
        <w:ind w:left="480" w:hanging="480"/>
        <w:spacing w:after="0"/>
        <w:tabs>
          <w:tab w:leader="none" w:pos="480" w:val="left"/>
        </w:tabs>
        <w:numPr>
          <w:ilvl w:val="0"/>
          <w:numId w:val="2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Cash and Cash Equivalents</w:t>
      </w:r>
    </w:p>
    <w:p>
      <w:pPr>
        <w:spacing w:after="0" w:line="124"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231F20"/>
        </w:rPr>
        <w:t>The Company had cash and cash equivalents consisting of cash balances on hand and money market funds that totaled $36.5 million at December 31, 2025 and $27.7 million at December 31, 2024. There were no restrictions on the Company’s cash balances during the periods presented.</w:t>
      </w:r>
    </w:p>
    <w:p>
      <w:pPr>
        <w:spacing w:after="0" w:line="304" w:lineRule="exact"/>
        <w:rPr>
          <w:sz w:val="20"/>
          <w:szCs w:val="20"/>
          <w:color w:val="auto"/>
        </w:rPr>
      </w:pPr>
    </w:p>
    <w:p>
      <w:pPr>
        <w:ind w:left="500" w:hanging="500"/>
        <w:spacing w:after="0"/>
        <w:tabs>
          <w:tab w:leader="none" w:pos="500" w:val="left"/>
        </w:tabs>
        <w:numPr>
          <w:ilvl w:val="0"/>
          <w:numId w:val="29"/>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Credit Facility</w:t>
      </w:r>
    </w:p>
    <w:p>
      <w:pPr>
        <w:spacing w:after="0" w:line="124" w:lineRule="exact"/>
        <w:rPr>
          <w:sz w:val="20"/>
          <w:szCs w:val="20"/>
          <w:color w:val="auto"/>
        </w:rPr>
      </w:pPr>
    </w:p>
    <w:p>
      <w:pPr>
        <w:ind w:right="260" w:firstLine="490"/>
        <w:spacing w:after="0" w:line="244" w:lineRule="auto"/>
        <w:rPr>
          <w:sz w:val="20"/>
          <w:szCs w:val="20"/>
          <w:color w:val="auto"/>
        </w:rPr>
      </w:pPr>
      <w:r>
        <w:rPr>
          <w:rFonts w:ascii="Times New Roman" w:cs="Times New Roman" w:eastAsia="Times New Roman" w:hAnsi="Times New Roman"/>
          <w:sz w:val="20"/>
          <w:szCs w:val="20"/>
          <w:color w:val="231F20"/>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Exhibit 10.2 to the Form 8-K/A filed with the SEC on January 4, 2022 and Exhibit 10.12 to the Company’s Form 10-K filed with the SEC on March 15, 2024. Additionally, the facility includes an accordion feature for additional borrowing of up to $20 million upon satisfaction of certain conditions.</w:t>
      </w:r>
    </w:p>
    <w:p>
      <w:pPr>
        <w:spacing w:after="0" w:line="20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The Revolver expires in December 2026 and includes swing loan and letter of credit sub- 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ectPr>
          <w:pgSz w:w="11880" w:h="15480" w:orient="portrait"/>
          <w:cols w:equalWidth="0" w:num="1">
            <w:col w:w="10800"/>
          </w:cols>
          <w:pgMar w:left="540" w:top="10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800"/>
          </w:cols>
          <w:pgMar w:left="540" w:top="1040" w:right="540" w:bottom="0" w:gutter="0" w:footer="0" w:header="0"/>
          <w:type w:val="continuous"/>
        </w:sectPr>
      </w:pPr>
    </w:p>
    <w:bookmarkStart w:id="68" w:name="page69"/>
    <w:bookmarkEnd w:id="68"/>
    <w:p>
      <w:pPr>
        <w:ind w:firstLine="490"/>
        <w:spacing w:after="0" w:line="245" w:lineRule="auto"/>
        <w:rPr>
          <w:sz w:val="20"/>
          <w:szCs w:val="20"/>
          <w:color w:val="auto"/>
        </w:rPr>
      </w:pPr>
      <w:r>
        <w:rPr>
          <w:rFonts w:ascii="Times New Roman" w:cs="Times New Roman" w:eastAsia="Times New Roman" w:hAnsi="Times New Roman"/>
          <w:sz w:val="20"/>
          <w:szCs w:val="20"/>
          <w:color w:val="231F20"/>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December 31, 2025, the Company was in compliance with all applicable provisions of the Credit Agreement.</w:t>
      </w:r>
    </w:p>
    <w:p>
      <w:pPr>
        <w:spacing w:after="0" w:line="19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$95,000 and $189,000 (net of amortization) as of December 31, 2025, and December 31, 2024, respectively, are presented as long-term assets in the Company’s Consolidated Balance Sheets.</w:t>
      </w:r>
    </w:p>
    <w:p>
      <w:pPr>
        <w:spacing w:after="0" w:line="197"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As of December 31, 2025, and December 31, 2024, the Company’s outstanding borrowings under the Revolver totaled zero dollars; and unused borrowing capacity available was approximately $19.9 million and $22.6 million, respectively. There were no outstanding borrowings under the Term Loan at December 31, 2025, and December 31, 2024.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w:t>
      </w:r>
    </w:p>
    <w:p>
      <w:pPr>
        <w:spacing w:after="0" w:line="316" w:lineRule="exact"/>
        <w:rPr>
          <w:sz w:val="20"/>
          <w:szCs w:val="20"/>
          <w:color w:val="auto"/>
        </w:rPr>
      </w:pPr>
    </w:p>
    <w:p>
      <w:pPr>
        <w:ind w:left="480" w:hanging="480"/>
        <w:spacing w:after="0"/>
        <w:tabs>
          <w:tab w:leader="none" w:pos="480" w:val="left"/>
        </w:tabs>
        <w:numPr>
          <w:ilvl w:val="0"/>
          <w:numId w:val="3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Leases</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rents certain office facilities and equipment under noncancelable operating leases. As of December 31, 2025, approximately 94,000 square feet of office space is utilized for our sales and recruiting offices, delivery centers, and corporate headquarters. All of our leases are classified as operating leases. The average initial lease term is 3.9 years. Several leases have an option to renew, at our sole discretion, for an additional term. Our present lease terms range from less than one-year to 3.8 years with a weighted average of 2.3 years. Leases with an initial term of twelve months or less are not recorded on the balance sheet.</w:t>
      </w:r>
    </w:p>
    <w:p>
      <w:pPr>
        <w:spacing w:after="0" w:line="197"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Leases 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summarizes the balance sheet classification of the lease assets and related lease liabilities:</w:t>
      </w:r>
    </w:p>
    <w:p>
      <w:pPr>
        <w:spacing w:after="0" w:line="336" w:lineRule="exact"/>
        <w:rPr>
          <w:sz w:val="20"/>
          <w:szCs w:val="20"/>
          <w:color w:val="auto"/>
        </w:rPr>
      </w:pPr>
    </w:p>
    <w:tbl>
      <w:tblPr>
        <w:tblLayout w:type="fixed"/>
        <w:tblInd w:w="162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440" w:type="dxa"/>
            <w:vAlign w:val="bottom"/>
            <w:tcBorders>
              <w:bottom w:val="single" w:sz="8" w:color="231F20"/>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20" w:type="dxa"/>
            <w:vAlign w:val="bottom"/>
          </w:tcPr>
          <w:p>
            <w:pPr>
              <w:spacing w:after="0"/>
              <w:rPr>
                <w:sz w:val="17"/>
                <w:szCs w:val="17"/>
                <w:color w:val="auto"/>
              </w:rPr>
            </w:pPr>
          </w:p>
        </w:tc>
        <w:tc>
          <w:tcPr>
            <w:tcW w:w="14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39"/>
        </w:trPr>
        <w:tc>
          <w:tcPr>
            <w:tcW w:w="4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gridSpan w:val="3"/>
          </w:tcPr>
          <w:p>
            <w:pPr>
              <w:jc w:val="right"/>
              <w:ind w:right="167"/>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800" w:type="dxa"/>
            <w:vAlign w:val="bottom"/>
          </w:tcPr>
          <w:p>
            <w:pPr>
              <w:spacing w:after="0"/>
              <w:rPr>
                <w:sz w:val="20"/>
                <w:szCs w:val="20"/>
                <w:color w:val="auto"/>
              </w:rPr>
            </w:pPr>
          </w:p>
        </w:tc>
      </w:tr>
      <w:tr>
        <w:trPr>
          <w:trHeight w:val="244"/>
        </w:trPr>
        <w:tc>
          <w:tcPr>
            <w:tcW w:w="45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500" w:type="dxa"/>
            <w:vAlign w:val="bottom"/>
            <w:shd w:val="clear" w:color="auto" w:fill="E6E7E8"/>
          </w:tcPr>
          <w:p>
            <w:pPr>
              <w:spacing w:after="0"/>
              <w:rPr>
                <w:sz w:val="21"/>
                <w:szCs w:val="21"/>
                <w:color w:val="auto"/>
              </w:rPr>
            </w:pPr>
          </w:p>
        </w:tc>
        <w:tc>
          <w:tcPr>
            <w:tcW w:w="94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640" w:type="dxa"/>
            <w:vAlign w:val="bottom"/>
            <w:shd w:val="clear" w:color="auto" w:fill="E6E7E8"/>
          </w:tcPr>
          <w:p>
            <w:pPr>
              <w:spacing w:after="0"/>
              <w:rPr>
                <w:sz w:val="21"/>
                <w:szCs w:val="21"/>
                <w:color w:val="auto"/>
              </w:rPr>
            </w:pPr>
          </w:p>
        </w:tc>
        <w:tc>
          <w:tcPr>
            <w:tcW w:w="800" w:type="dxa"/>
            <w:vAlign w:val="bottom"/>
            <w:shd w:val="clear" w:color="auto" w:fill="E6E7E8"/>
          </w:tcPr>
          <w:p>
            <w:pPr>
              <w:spacing w:after="0"/>
              <w:rPr>
                <w:sz w:val="21"/>
                <w:szCs w:val="21"/>
                <w:color w:val="auto"/>
              </w:rPr>
            </w:pPr>
          </w:p>
        </w:tc>
      </w:tr>
      <w:tr>
        <w:trPr>
          <w:trHeight w:val="284"/>
        </w:trPr>
        <w:tc>
          <w:tcPr>
            <w:tcW w:w="4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Long-term operating lease right-of-use assets</w:t>
            </w:r>
          </w:p>
        </w:tc>
        <w:tc>
          <w:tcPr>
            <w:tcW w:w="500" w:type="dxa"/>
            <w:vAlign w:val="bottom"/>
          </w:tcPr>
          <w:p>
            <w:pPr>
              <w:jc w:val="right"/>
              <w:ind w:right="305"/>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2,534</w:t>
            </w:r>
          </w:p>
        </w:tc>
        <w:tc>
          <w:tcPr>
            <w:tcW w:w="760" w:type="dxa"/>
            <w:vAlign w:val="bottom"/>
            <w:gridSpan w:val="2"/>
          </w:tcPr>
          <w:p>
            <w:pPr>
              <w:jc w:val="right"/>
              <w:ind w:right="447"/>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3,832</w:t>
            </w:r>
          </w:p>
        </w:tc>
      </w:tr>
      <w:tr>
        <w:trPr>
          <w:trHeight w:val="229"/>
        </w:trPr>
        <w:tc>
          <w:tcPr>
            <w:tcW w:w="456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500" w:type="dxa"/>
            <w:vAlign w:val="bottom"/>
            <w:tcBorders>
              <w:top w:val="single" w:sz="8" w:color="231F20"/>
            </w:tcBorders>
            <w:shd w:val="clear" w:color="auto" w:fill="E6E7E8"/>
          </w:tcPr>
          <w:p>
            <w:pPr>
              <w:spacing w:after="0"/>
              <w:rPr>
                <w:sz w:val="19"/>
                <w:szCs w:val="19"/>
                <w:color w:val="auto"/>
              </w:rPr>
            </w:pPr>
          </w:p>
        </w:tc>
        <w:tc>
          <w:tcPr>
            <w:tcW w:w="940" w:type="dxa"/>
            <w:vAlign w:val="bottom"/>
            <w:tcBorders>
              <w:top w:val="single" w:sz="8" w:color="231F20"/>
            </w:tcBorders>
            <w:shd w:val="clear" w:color="auto" w:fill="E6E7E8"/>
          </w:tcPr>
          <w:p>
            <w:pPr>
              <w:spacing w:after="0"/>
              <w:rPr>
                <w:sz w:val="19"/>
                <w:szCs w:val="19"/>
                <w:color w:val="auto"/>
              </w:rPr>
            </w:pPr>
          </w:p>
        </w:tc>
        <w:tc>
          <w:tcPr>
            <w:tcW w:w="120" w:type="dxa"/>
            <w:vAlign w:val="bottom"/>
            <w:tcBorders>
              <w:top w:val="single" w:sz="8" w:color="E6E7E8"/>
            </w:tcBorders>
            <w:shd w:val="clear" w:color="auto" w:fill="E6E7E8"/>
          </w:tcPr>
          <w:p>
            <w:pPr>
              <w:spacing w:after="0"/>
              <w:rPr>
                <w:sz w:val="19"/>
                <w:szCs w:val="19"/>
                <w:color w:val="auto"/>
              </w:rPr>
            </w:pPr>
          </w:p>
        </w:tc>
        <w:tc>
          <w:tcPr>
            <w:tcW w:w="640" w:type="dxa"/>
            <w:vAlign w:val="bottom"/>
            <w:tcBorders>
              <w:top w:val="single" w:sz="8" w:color="231F20"/>
            </w:tcBorders>
            <w:shd w:val="clear" w:color="auto" w:fill="E6E7E8"/>
          </w:tcPr>
          <w:p>
            <w:pPr>
              <w:spacing w:after="0"/>
              <w:rPr>
                <w:sz w:val="19"/>
                <w:szCs w:val="19"/>
                <w:color w:val="auto"/>
              </w:rPr>
            </w:pPr>
          </w:p>
        </w:tc>
        <w:tc>
          <w:tcPr>
            <w:tcW w:w="800" w:type="dxa"/>
            <w:vAlign w:val="bottom"/>
            <w:tcBorders>
              <w:top w:val="single" w:sz="8" w:color="231F20"/>
            </w:tcBorders>
            <w:shd w:val="clear" w:color="auto" w:fill="E6E7E8"/>
          </w:tcPr>
          <w:p>
            <w:pPr>
              <w:spacing w:after="0"/>
              <w:rPr>
                <w:sz w:val="19"/>
                <w:szCs w:val="19"/>
                <w:color w:val="auto"/>
              </w:rPr>
            </w:pPr>
          </w:p>
        </w:tc>
      </w:tr>
      <w:tr>
        <w:trPr>
          <w:trHeight w:val="244"/>
        </w:trPr>
        <w:tc>
          <w:tcPr>
            <w:tcW w:w="4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Short-term operating lease liability</w:t>
            </w:r>
          </w:p>
        </w:tc>
        <w:tc>
          <w:tcPr>
            <w:tcW w:w="500" w:type="dxa"/>
            <w:vAlign w:val="bottom"/>
          </w:tcPr>
          <w:p>
            <w:pPr>
              <w:jc w:val="right"/>
              <w:ind w:right="305"/>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1,283</w:t>
            </w:r>
          </w:p>
        </w:tc>
        <w:tc>
          <w:tcPr>
            <w:tcW w:w="120" w:type="dxa"/>
            <w:vAlign w:val="bottom"/>
          </w:tcPr>
          <w:p>
            <w:pPr>
              <w:spacing w:after="0"/>
              <w:rPr>
                <w:sz w:val="21"/>
                <w:szCs w:val="21"/>
                <w:color w:val="auto"/>
              </w:rPr>
            </w:pPr>
          </w:p>
        </w:tc>
        <w:tc>
          <w:tcPr>
            <w:tcW w:w="640" w:type="dxa"/>
            <w:vAlign w:val="bottom"/>
          </w:tcPr>
          <w:p>
            <w:pPr>
              <w:jc w:val="right"/>
              <w:ind w:right="447"/>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1,265</w:t>
            </w:r>
          </w:p>
        </w:tc>
      </w:tr>
      <w:tr>
        <w:trPr>
          <w:trHeight w:val="244"/>
        </w:trPr>
        <w:tc>
          <w:tcPr>
            <w:tcW w:w="45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Long-term operating lease liability</w:t>
            </w:r>
          </w:p>
        </w:tc>
        <w:tc>
          <w:tcPr>
            <w:tcW w:w="500" w:type="dxa"/>
            <w:vAlign w:val="bottom"/>
            <w:tcBorders>
              <w:bottom w:val="single" w:sz="8" w:color="231F20"/>
            </w:tcBorders>
            <w:shd w:val="clear" w:color="auto" w:fill="E6E7E8"/>
          </w:tcPr>
          <w:p>
            <w:pPr>
              <w:spacing w:after="0"/>
              <w:rPr>
                <w:sz w:val="21"/>
                <w:szCs w:val="21"/>
                <w:color w:val="auto"/>
              </w:rPr>
            </w:pPr>
          </w:p>
        </w:tc>
        <w:tc>
          <w:tcPr>
            <w:tcW w:w="9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1,138</w:t>
            </w:r>
          </w:p>
        </w:tc>
        <w:tc>
          <w:tcPr>
            <w:tcW w:w="120" w:type="dxa"/>
            <w:vAlign w:val="bottom"/>
            <w:shd w:val="clear" w:color="auto" w:fill="E6E7E8"/>
          </w:tcPr>
          <w:p>
            <w:pPr>
              <w:spacing w:after="0"/>
              <w:rPr>
                <w:sz w:val="21"/>
                <w:szCs w:val="21"/>
                <w:color w:val="auto"/>
              </w:rPr>
            </w:pPr>
          </w:p>
        </w:tc>
        <w:tc>
          <w:tcPr>
            <w:tcW w:w="640" w:type="dxa"/>
            <w:vAlign w:val="bottom"/>
            <w:tcBorders>
              <w:bottom w:val="single" w:sz="8" w:color="231F20"/>
            </w:tcBorders>
            <w:shd w:val="clear" w:color="auto" w:fill="E6E7E8"/>
          </w:tcPr>
          <w:p>
            <w:pPr>
              <w:spacing w:after="0"/>
              <w:rPr>
                <w:sz w:val="21"/>
                <w:szCs w:val="21"/>
                <w:color w:val="auto"/>
              </w:rPr>
            </w:pPr>
          </w:p>
        </w:tc>
        <w:tc>
          <w:tcPr>
            <w:tcW w:w="80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2,486</w:t>
            </w:r>
          </w:p>
        </w:tc>
      </w:tr>
      <w:tr>
        <w:trPr>
          <w:trHeight w:val="239"/>
        </w:trPr>
        <w:tc>
          <w:tcPr>
            <w:tcW w:w="45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Liabilities</w:t>
            </w:r>
          </w:p>
        </w:tc>
        <w:tc>
          <w:tcPr>
            <w:tcW w:w="50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2,421</w:t>
            </w:r>
          </w:p>
        </w:tc>
        <w:tc>
          <w:tcPr>
            <w:tcW w:w="120" w:type="dxa"/>
            <w:vAlign w:val="bottom"/>
          </w:tcPr>
          <w:p>
            <w:pPr>
              <w:spacing w:after="0"/>
              <w:rPr>
                <w:sz w:val="20"/>
                <w:szCs w:val="20"/>
                <w:color w:val="auto"/>
              </w:rPr>
            </w:pPr>
          </w:p>
        </w:tc>
        <w:tc>
          <w:tcPr>
            <w:tcW w:w="64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3,751</w:t>
            </w:r>
          </w:p>
        </w:tc>
      </w:tr>
      <w:tr>
        <w:trPr>
          <w:trHeight w:val="20"/>
        </w:trPr>
        <w:tc>
          <w:tcPr>
            <w:tcW w:w="4560" w:type="dxa"/>
            <w:vAlign w:val="bottom"/>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800"/>
          </w:cols>
          <w:pgMar w:left="540" w:top="750" w:right="540" w:bottom="0" w:gutter="0" w:footer="0" w:header="0"/>
          <w:type w:val="continuous"/>
        </w:sectPr>
      </w:pPr>
    </w:p>
    <w:bookmarkStart w:id="69" w:name="page70"/>
    <w:bookmarkEnd w:id="69"/>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Future minimum rental payments for office facilities and equipment under the Company’s noncancelable operating leases are as follows:</w:t>
      </w:r>
    </w:p>
    <w:p>
      <w:pPr>
        <w:spacing w:after="0" w:line="288" w:lineRule="exact"/>
        <w:rPr>
          <w:sz w:val="20"/>
          <w:szCs w:val="20"/>
          <w:color w:val="auto"/>
        </w:rPr>
      </w:pPr>
    </w:p>
    <w:tbl>
      <w:tblPr>
        <w:tblLayout w:type="fixed"/>
        <w:tblInd w:w="216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right="184"/>
              <w:spacing w:after="0"/>
              <w:rPr>
                <w:sz w:val="20"/>
                <w:szCs w:val="20"/>
                <w:color w:val="auto"/>
              </w:rPr>
            </w:pPr>
            <w:r>
              <w:rPr>
                <w:rFonts w:ascii="Times New Roman" w:cs="Times New Roman" w:eastAsia="Times New Roman" w:hAnsi="Times New Roman"/>
                <w:sz w:val="16"/>
                <w:szCs w:val="16"/>
                <w:b w:val="1"/>
                <w:bCs w:val="1"/>
                <w:color w:val="231F20"/>
              </w:rPr>
              <w:t>Amount as of</w:t>
            </w:r>
          </w:p>
        </w:tc>
      </w:tr>
      <w:tr>
        <w:trPr>
          <w:trHeight w:val="227"/>
        </w:trPr>
        <w:tc>
          <w:tcPr>
            <w:tcW w:w="4900" w:type="dxa"/>
            <w:vAlign w:val="bottom"/>
          </w:tcPr>
          <w:p>
            <w:pPr>
              <w:spacing w:after="0"/>
              <w:rPr>
                <w:sz w:val="19"/>
                <w:szCs w:val="19"/>
                <w:color w:val="auto"/>
              </w:rPr>
            </w:pPr>
          </w:p>
        </w:tc>
        <w:tc>
          <w:tcPr>
            <w:tcW w:w="15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December 31, 2025</w:t>
            </w:r>
          </w:p>
        </w:tc>
      </w:tr>
      <w:tr>
        <w:trPr>
          <w:trHeight w:val="239"/>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64"/>
              <w:spacing w:after="0"/>
              <w:rPr>
                <w:sz w:val="20"/>
                <w:szCs w:val="20"/>
                <w:color w:val="auto"/>
              </w:rPr>
            </w:pPr>
            <w:r>
              <w:rPr>
                <w:rFonts w:ascii="Times New Roman" w:cs="Times New Roman" w:eastAsia="Times New Roman" w:hAnsi="Times New Roman"/>
                <w:sz w:val="16"/>
                <w:szCs w:val="16"/>
                <w:b w:val="1"/>
                <w:bCs w:val="1"/>
                <w:color w:val="231F20"/>
              </w:rPr>
              <w:t>(in thousands)</w:t>
            </w: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2026</w:t>
            </w:r>
          </w:p>
        </w:tc>
        <w:tc>
          <w:tcPr>
            <w:tcW w:w="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1,390</w:t>
            </w: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80" w:type="dxa"/>
            <w:vAlign w:val="bottom"/>
          </w:tcPr>
          <w:p>
            <w:pPr>
              <w:spacing w:after="0"/>
              <w:rPr>
                <w:sz w:val="21"/>
                <w:szCs w:val="21"/>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752</w:t>
            </w: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2028</w:t>
            </w:r>
          </w:p>
        </w:tc>
        <w:tc>
          <w:tcPr>
            <w:tcW w:w="180" w:type="dxa"/>
            <w:vAlign w:val="bottom"/>
            <w:shd w:val="clear" w:color="auto" w:fill="E6E7E8"/>
          </w:tcPr>
          <w:p>
            <w:pPr>
              <w:spacing w:after="0"/>
              <w:rPr>
                <w:sz w:val="21"/>
                <w:szCs w:val="21"/>
                <w:color w:val="auto"/>
              </w:rPr>
            </w:pPr>
          </w:p>
        </w:tc>
        <w:tc>
          <w:tcPr>
            <w:tcW w:w="140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259</w:t>
            </w: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80" w:type="dxa"/>
            <w:vAlign w:val="bottom"/>
          </w:tcPr>
          <w:p>
            <w:pPr>
              <w:spacing w:after="0"/>
              <w:rPr>
                <w:sz w:val="21"/>
                <w:szCs w:val="21"/>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196</w:t>
            </w: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2030</w:t>
            </w:r>
          </w:p>
        </w:tc>
        <w:tc>
          <w:tcPr>
            <w:tcW w:w="180" w:type="dxa"/>
            <w:vAlign w:val="bottom"/>
            <w:shd w:val="clear" w:color="auto" w:fill="E6E7E8"/>
          </w:tcPr>
          <w:p>
            <w:pPr>
              <w:spacing w:after="0"/>
              <w:rPr>
                <w:sz w:val="21"/>
                <w:szCs w:val="21"/>
                <w:color w:val="auto"/>
              </w:rPr>
            </w:pPr>
          </w:p>
        </w:tc>
        <w:tc>
          <w:tcPr>
            <w:tcW w:w="140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80" w:type="dxa"/>
            <w:vAlign w:val="bottom"/>
          </w:tcPr>
          <w:p>
            <w:pPr>
              <w:spacing w:after="0"/>
              <w:rPr>
                <w:sz w:val="21"/>
                <w:szCs w:val="21"/>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Total</w:t>
            </w:r>
          </w:p>
        </w:tc>
        <w:tc>
          <w:tcPr>
            <w:tcW w:w="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2,597</w:t>
            </w:r>
          </w:p>
        </w:tc>
      </w:tr>
      <w:tr>
        <w:trPr>
          <w:trHeight w:val="244"/>
        </w:trPr>
        <w:tc>
          <w:tcPr>
            <w:tcW w:w="490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Less: Imputed interest</w:t>
            </w:r>
          </w:p>
        </w:tc>
        <w:tc>
          <w:tcPr>
            <w:tcW w:w="180" w:type="dxa"/>
            <w:vAlign w:val="bottom"/>
            <w:tcBorders>
              <w:bottom w:val="single" w:sz="8" w:color="231F20"/>
            </w:tcBorders>
          </w:tcPr>
          <w:p>
            <w:pPr>
              <w:spacing w:after="0"/>
              <w:rPr>
                <w:sz w:val="21"/>
                <w:szCs w:val="21"/>
                <w:color w:val="auto"/>
              </w:rPr>
            </w:pPr>
          </w:p>
        </w:tc>
        <w:tc>
          <w:tcPr>
            <w:tcW w:w="14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(176)</w:t>
            </w:r>
          </w:p>
        </w:tc>
      </w:tr>
      <w:tr>
        <w:trPr>
          <w:trHeight w:val="239"/>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Present value of operating lease liabilities</w:t>
            </w:r>
          </w:p>
        </w:tc>
        <w:tc>
          <w:tcPr>
            <w:tcW w:w="1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00" w:type="dxa"/>
            <w:vAlign w:val="bottom"/>
            <w:tcBorders>
              <w:bottom w:val="single" w:sz="8" w:color="231F20"/>
            </w:tcBorders>
            <w:shd w:val="clear" w:color="auto" w:fill="E6E7E8"/>
          </w:tcPr>
          <w:p>
            <w:pPr>
              <w:jc w:val="right"/>
              <w:ind w:right="4"/>
              <w:spacing w:after="0"/>
              <w:rPr>
                <w:sz w:val="20"/>
                <w:szCs w:val="20"/>
                <w:color w:val="auto"/>
              </w:rPr>
            </w:pPr>
            <w:r>
              <w:rPr>
                <w:rFonts w:ascii="Times New Roman" w:cs="Times New Roman" w:eastAsia="Times New Roman" w:hAnsi="Times New Roman"/>
                <w:sz w:val="20"/>
                <w:szCs w:val="20"/>
                <w:color w:val="231F20"/>
              </w:rPr>
              <w:t>2,421</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weighted average discount rate used to calculate the present value of future lease payments was 5.7%.</w:t>
      </w:r>
    </w:p>
    <w:p>
      <w:pPr>
        <w:spacing w:after="0" w:line="240"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31F20"/>
        </w:rPr>
        <w:t>We recognize rent expense for these leases on a straight -line basis over the lease term. Rental expense for the years ended December 31, 2025, 2024 and 2023 totaled $1.6 million, $1.5 million and $1.7 million, respectively.</w:t>
      </w:r>
    </w:p>
    <w:p>
      <w:pPr>
        <w:spacing w:after="0" w:line="169"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Total cash paid for lease liabilities for the years ended December 31, 2025 totaled $1.4 million, $1.5 million and $1.6 million, respectively.</w:t>
      </w:r>
    </w:p>
    <w:p>
      <w:pPr>
        <w:spacing w:after="0" w:line="169"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There were no new leases entered into during the year ended December 31, 2025 or 2024. New leases entered into during the years ended December 31, 2023 totaled $2.7 million . New leases are considered non-cash transactions.</w:t>
      </w:r>
    </w:p>
    <w:p>
      <w:pPr>
        <w:spacing w:after="0" w:line="308" w:lineRule="exact"/>
        <w:rPr>
          <w:sz w:val="20"/>
          <w:szCs w:val="20"/>
          <w:color w:val="auto"/>
        </w:rPr>
      </w:pPr>
    </w:p>
    <w:p>
      <w:pPr>
        <w:ind w:left="480" w:hanging="480"/>
        <w:spacing w:after="0"/>
        <w:tabs>
          <w:tab w:leader="none" w:pos="480" w:val="left"/>
        </w:tabs>
        <w:numPr>
          <w:ilvl w:val="0"/>
          <w:numId w:val="31"/>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Long-Term Severance Liability</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December 2024, the Company recorded a $1.9 million liability based on the contractual terms of the severance agreement with its former President and Chief Executive Officer. In March 2025, the Company recorded an additional $1.4 million severance liability related to the severance agreement with its former Chief Financial Officer. As of December 31, 2025, $1.6 million is recorded in current liabilities and $0.3 million is recorded as a long-term liability in the Company’s Consolidated Balance Sheets, based on the expected timing of payments.</w:t>
      </w:r>
    </w:p>
    <w:p>
      <w:pPr>
        <w:spacing w:after="0" w:line="313" w:lineRule="exact"/>
        <w:rPr>
          <w:sz w:val="20"/>
          <w:szCs w:val="20"/>
          <w:color w:val="auto"/>
        </w:rPr>
      </w:pPr>
    </w:p>
    <w:p>
      <w:pPr>
        <w:ind w:left="480" w:hanging="480"/>
        <w:spacing w:after="0"/>
        <w:tabs>
          <w:tab w:leader="none" w:pos="480" w:val="left"/>
        </w:tabs>
        <w:numPr>
          <w:ilvl w:val="0"/>
          <w:numId w:val="3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Commitment and Contingencies</w:t>
      </w:r>
    </w:p>
    <w:p>
      <w:pPr>
        <w:spacing w:after="0" w:line="12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December 2022, the Company received a demand letter from the attorney of a former employee who resigned from his employment with the Company in November 2022. Among other allegations in the letter, this former employee asserted various employment-related claims against the Company, including a claim of wrongful termination. The Company settled this claim in 2023 and paid a $3.1 million settlement, net of recoveries, and incurred $0.9 million of professional service fees related to this matter. Both the professional services fees and the settlement amount, net of recoveries are included in Selling, General and Administrative expenses in the Consolidated Statement of Operations. There were no professional service fees related to this matter incurred in either 2025, or 2024.</w:t>
      </w:r>
    </w:p>
    <w:p>
      <w:pPr>
        <w:spacing w:after="0" w:line="20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10" w:lineRule="exact"/>
        <w:rPr>
          <w:sz w:val="20"/>
          <w:szCs w:val="20"/>
          <w:color w:val="auto"/>
        </w:rPr>
      </w:pPr>
    </w:p>
    <w:p>
      <w:pPr>
        <w:ind w:left="480" w:hanging="480"/>
        <w:spacing w:after="0"/>
        <w:tabs>
          <w:tab w:leader="none" w:pos="480" w:val="left"/>
        </w:tabs>
        <w:numPr>
          <w:ilvl w:val="0"/>
          <w:numId w:val="33"/>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Employee Benefit Plan</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Company provides an Employee Retirement Savings Plan (the “Retirement Plan”) under Section 401(k) of the Internal Revenue Code of 1986, as amended (the “Code”), that covers substantially all U.S.-based salaried and W-2 hourly employees. Employees may contribute a percentage of eligible compensation to the Retirement Plan, subject to certain limits under the Code. The Company did not provide for any matching contributions for the three years ended December 31, 2025.</w:t>
      </w:r>
    </w:p>
    <w:p>
      <w:pPr>
        <w:sectPr>
          <w:pgSz w:w="11880" w:h="15480" w:orient="portrait"/>
          <w:cols w:equalWidth="0" w:num="1">
            <w:col w:w="10760"/>
          </w:cols>
          <w:pgMar w:left="540" w:top="750" w:right="58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760"/>
          </w:cols>
          <w:pgMar w:left="540" w:top="750" w:right="5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231F20"/>
        </w:rPr>
        <w:t>10. Stock-Based Compensation</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Effective October 1, 2008, the Company adopted a Stock Incentive Plan. This stock incentive plan was amended and restated effective as of May 14, 2024 and further amended on May 14, 2025, (the “Plan”). The Plan provides that up to 6,200,000 shares of the Company’s common stock shall be allocated for issuance to directors, officers, employees and consultants of the Company. Grants under the Plan can be made in the form of stock options, stock appreciation rights, performance share awards, restricted stock awards or stock awards. As of December 31, 2025, the Company had 5,198,000 outstanding and/or exercised stock options, 24,000 vested performance shares and 365,000 outstanding and/or released restricted stock units that were issued under the Plan. Thus, as of December 31, 2025, the Company has 945,000 shares available for future grants under the Plan.</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Plan is administered by the Compensation Committee of the Board of Directors. All grants awarded under the Plan are recommended by the Committee to the Board of Directors for approval. The exercise price of stock options is set on the grant date and is not to be less than the fair market value per share of our closing stock price on that date. Grants of stock options and restricted stock awards generally vest over a three to five-year period and options expire after ten years from the grant date. Performance shares vest upon the achievement of the performance criteria and approval by the Compensation Committee of the Board of Directors.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Following is a summary of the Company’s stock option activity under the Plan for the three years ended December 31, 2025:</w:t>
      </w:r>
    </w:p>
    <w:p>
      <w:pPr>
        <w:spacing w:after="0" w:line="290"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43"/>
              <w:spacing w:after="0"/>
              <w:rPr>
                <w:sz w:val="20"/>
                <w:szCs w:val="20"/>
                <w:color w:val="auto"/>
              </w:rPr>
            </w:pPr>
            <w:r>
              <w:rPr>
                <w:rFonts w:ascii="Times New Roman" w:cs="Times New Roman" w:eastAsia="Times New Roman" w:hAnsi="Times New Roman"/>
                <w:sz w:val="16"/>
                <w:szCs w:val="16"/>
                <w:b w:val="1"/>
                <w:bCs w:val="1"/>
                <w:color w:val="231F20"/>
              </w:rPr>
              <w:t>Weighted</w:t>
            </w:r>
          </w:p>
        </w:tc>
      </w:tr>
      <w:tr>
        <w:trPr>
          <w:trHeight w:val="184"/>
        </w:trPr>
        <w:tc>
          <w:tcPr>
            <w:tcW w:w="5080" w:type="dxa"/>
            <w:vAlign w:val="bottom"/>
          </w:tcPr>
          <w:p>
            <w:pPr>
              <w:spacing w:after="0"/>
              <w:rPr>
                <w:sz w:val="16"/>
                <w:szCs w:val="16"/>
                <w:color w:val="auto"/>
              </w:rPr>
            </w:pPr>
          </w:p>
        </w:tc>
        <w:tc>
          <w:tcPr>
            <w:tcW w:w="118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231F20"/>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43"/>
              <w:spacing w:after="0"/>
              <w:rPr>
                <w:sz w:val="20"/>
                <w:szCs w:val="20"/>
                <w:color w:val="auto"/>
              </w:rPr>
            </w:pPr>
            <w:r>
              <w:rPr>
                <w:rFonts w:ascii="Times New Roman" w:cs="Times New Roman" w:eastAsia="Times New Roman" w:hAnsi="Times New Roman"/>
                <w:sz w:val="16"/>
                <w:szCs w:val="16"/>
                <w:b w:val="1"/>
                <w:bCs w:val="1"/>
                <w:color w:val="231F20"/>
              </w:rPr>
              <w:t>Average</w:t>
            </w:r>
          </w:p>
        </w:tc>
      </w:tr>
      <w:tr>
        <w:trPr>
          <w:trHeight w:val="203"/>
        </w:trPr>
        <w:tc>
          <w:tcPr>
            <w:tcW w:w="5080" w:type="dxa"/>
            <w:vAlign w:val="bottom"/>
            <w:tcBorders>
              <w:bottom w:val="single" w:sz="8" w:color="E6E7E8"/>
            </w:tcBorders>
          </w:tcPr>
          <w:p>
            <w:pPr>
              <w:spacing w:after="0"/>
              <w:rPr>
                <w:sz w:val="17"/>
                <w:szCs w:val="17"/>
                <w:color w:val="auto"/>
              </w:rPr>
            </w:pPr>
          </w:p>
        </w:tc>
        <w:tc>
          <w:tcPr>
            <w:tcW w:w="118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120" w:type="dxa"/>
            <w:vAlign w:val="bottom"/>
            <w:tcBorders>
              <w:bottom w:val="single" w:sz="8" w:color="E6E7E8"/>
            </w:tcBorders>
          </w:tcPr>
          <w:p>
            <w:pPr>
              <w:spacing w:after="0"/>
              <w:rPr>
                <w:sz w:val="17"/>
                <w:szCs w:val="17"/>
                <w:color w:val="auto"/>
              </w:rPr>
            </w:pPr>
          </w:p>
        </w:tc>
        <w:tc>
          <w:tcPr>
            <w:tcW w:w="11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Exercise Price</w:t>
            </w:r>
          </w:p>
        </w:tc>
      </w:tr>
      <w:tr>
        <w:trPr>
          <w:trHeight w:val="239"/>
        </w:trPr>
        <w:tc>
          <w:tcPr>
            <w:tcW w:w="50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Outstanding at December 31, 2022</w:t>
            </w:r>
          </w:p>
        </w:tc>
        <w:tc>
          <w:tcPr>
            <w:tcW w:w="1180" w:type="dxa"/>
            <w:vAlign w:val="bottom"/>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2,326,000</w:t>
            </w:r>
          </w:p>
        </w:tc>
        <w:tc>
          <w:tcPr>
            <w:tcW w:w="12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11.38</w:t>
            </w: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205,000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10.14</w:t>
            </w:r>
          </w:p>
        </w:tc>
      </w:tr>
      <w:tr>
        <w:trPr>
          <w:trHeight w:val="244"/>
        </w:trPr>
        <w:tc>
          <w:tcPr>
            <w:tcW w:w="50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Exercised</w:t>
            </w:r>
          </w:p>
        </w:tc>
        <w:tc>
          <w:tcPr>
            <w:tcW w:w="1180" w:type="dxa"/>
            <w:vAlign w:val="bottom"/>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08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Cancelled / forfeited</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(434,000)</w:t>
            </w:r>
          </w:p>
        </w:tc>
        <w:tc>
          <w:tcPr>
            <w:tcW w:w="120" w:type="dxa"/>
            <w:vAlign w:val="bottom"/>
            <w:tcBorders>
              <w:bottom w:val="single" w:sz="8" w:color="E6E7E8"/>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13.62</w:t>
            </w:r>
          </w:p>
        </w:tc>
      </w:tr>
      <w:tr>
        <w:trPr>
          <w:trHeight w:val="239"/>
        </w:trPr>
        <w:tc>
          <w:tcPr>
            <w:tcW w:w="50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Outstanding at December 31, 2023</w:t>
            </w:r>
          </w:p>
        </w:tc>
        <w:tc>
          <w:tcPr>
            <w:tcW w:w="1180" w:type="dxa"/>
            <w:vAlign w:val="bottom"/>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2,097,000</w:t>
            </w:r>
          </w:p>
        </w:tc>
        <w:tc>
          <w:tcPr>
            <w:tcW w:w="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10.80</w:t>
            </w: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525,000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8.41</w:t>
            </w:r>
          </w:p>
        </w:tc>
      </w:tr>
      <w:tr>
        <w:trPr>
          <w:trHeight w:val="244"/>
        </w:trPr>
        <w:tc>
          <w:tcPr>
            <w:tcW w:w="50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Exercised</w:t>
            </w:r>
          </w:p>
        </w:tc>
        <w:tc>
          <w:tcPr>
            <w:tcW w:w="1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(77,000)</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6.59</w:t>
            </w:r>
          </w:p>
        </w:tc>
      </w:tr>
      <w:tr>
        <w:trPr>
          <w:trHeight w:val="244"/>
        </w:trPr>
        <w:tc>
          <w:tcPr>
            <w:tcW w:w="508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Cancelled / forfeited</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(125,000)</w:t>
            </w:r>
          </w:p>
        </w:tc>
        <w:tc>
          <w:tcPr>
            <w:tcW w:w="120" w:type="dxa"/>
            <w:vAlign w:val="bottom"/>
            <w:tcBorders>
              <w:bottom w:val="single" w:sz="8" w:color="E6E7E8"/>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13.89</w:t>
            </w:r>
          </w:p>
        </w:tc>
      </w:tr>
      <w:tr>
        <w:trPr>
          <w:trHeight w:val="239"/>
        </w:trPr>
        <w:tc>
          <w:tcPr>
            <w:tcW w:w="50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Outstanding at December 31, 2024</w:t>
            </w:r>
          </w:p>
        </w:tc>
        <w:tc>
          <w:tcPr>
            <w:tcW w:w="1180" w:type="dxa"/>
            <w:vAlign w:val="bottom"/>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2,420,000</w:t>
            </w:r>
          </w:p>
        </w:tc>
        <w:tc>
          <w:tcPr>
            <w:tcW w:w="120" w:type="dxa"/>
            <w:vAlign w:val="bottom"/>
            <w:shd w:val="clear" w:color="auto" w:fill="E6E7E8"/>
          </w:tcPr>
          <w:p>
            <w:pPr>
              <w:spacing w:after="0"/>
              <w:rPr>
                <w:sz w:val="20"/>
                <w:szCs w:val="20"/>
                <w:color w:val="auto"/>
              </w:rPr>
            </w:pPr>
          </w:p>
        </w:tc>
        <w:tc>
          <w:tcPr>
            <w:tcW w:w="160" w:type="dxa"/>
            <w:vAlign w:val="bottom"/>
            <w:shd w:val="clear" w:color="auto" w:fill="E6E7E8"/>
          </w:tcPr>
          <w:p>
            <w:pPr>
              <w:spacing w:after="0"/>
              <w:rPr>
                <w:sz w:val="20"/>
                <w:szCs w:val="20"/>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10.25</w:t>
            </w: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1,069,000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12.66</w:t>
            </w:r>
          </w:p>
        </w:tc>
      </w:tr>
      <w:tr>
        <w:trPr>
          <w:trHeight w:val="244"/>
        </w:trPr>
        <w:tc>
          <w:tcPr>
            <w:tcW w:w="50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Exercised</w:t>
            </w:r>
          </w:p>
        </w:tc>
        <w:tc>
          <w:tcPr>
            <w:tcW w:w="11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(222,000)</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10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4.64</w:t>
            </w:r>
          </w:p>
        </w:tc>
      </w:tr>
      <w:tr>
        <w:trPr>
          <w:trHeight w:val="244"/>
        </w:trPr>
        <w:tc>
          <w:tcPr>
            <w:tcW w:w="508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Cancelled / forfeited</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(276,000)</w:t>
            </w:r>
          </w:p>
        </w:tc>
        <w:tc>
          <w:tcPr>
            <w:tcW w:w="120" w:type="dxa"/>
            <w:vAlign w:val="bottom"/>
            <w:tcBorders>
              <w:bottom w:val="single" w:sz="8" w:color="E6E7E8"/>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15.30</w:t>
            </w:r>
          </w:p>
        </w:tc>
      </w:tr>
      <w:tr>
        <w:trPr>
          <w:trHeight w:val="259"/>
        </w:trPr>
        <w:tc>
          <w:tcPr>
            <w:tcW w:w="50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Outstanding at December 31, 2025</w:t>
            </w:r>
          </w:p>
        </w:tc>
        <w:tc>
          <w:tcPr>
            <w:tcW w:w="1180" w:type="dxa"/>
            <w:vAlign w:val="bottom"/>
            <w:tcBorders>
              <w:bottom w:val="single" w:sz="8" w:color="231F20"/>
            </w:tcBorders>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b w:val="1"/>
                <w:bCs w:val="1"/>
                <w:color w:val="231F20"/>
              </w:rPr>
              <w:t>2,991,000</w:t>
            </w:r>
          </w:p>
        </w:tc>
        <w:tc>
          <w:tcPr>
            <w:tcW w:w="120" w:type="dxa"/>
            <w:vAlign w:val="bottom"/>
            <w:tcBorders>
              <w:bottom w:val="single" w:sz="8" w:color="E6E7E8"/>
            </w:tcBorders>
            <w:shd w:val="clear" w:color="auto" w:fill="E6E7E8"/>
          </w:tcPr>
          <w:p>
            <w:pPr>
              <w:spacing w:after="0"/>
              <w:rPr>
                <w:sz w:val="22"/>
                <w:szCs w:val="22"/>
                <w:color w:val="auto"/>
              </w:rPr>
            </w:pPr>
          </w:p>
        </w:tc>
        <w:tc>
          <w:tcPr>
            <w:tcW w:w="1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0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11.07</w:t>
            </w:r>
          </w:p>
        </w:tc>
      </w:tr>
      <w:tr>
        <w:trPr>
          <w:trHeight w:val="20"/>
        </w:trPr>
        <w:tc>
          <w:tcPr>
            <w:tcW w:w="5080" w:type="dxa"/>
            <w:vAlign w:val="bottom"/>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As of December 31, 2025, the Company’s outstanding “in the money” stock options under the Plan, using the year-end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price of $6.95 had an aggregate intrinsic value of $818,000. As of December 31, 2025, the intrinsic value of vested stock options</w:t>
      </w:r>
    </w:p>
    <w:p>
      <w:pPr>
        <w:spacing w:after="0"/>
        <w:rPr>
          <w:sz w:val="20"/>
          <w:szCs w:val="20"/>
          <w:color w:val="auto"/>
        </w:rPr>
      </w:pPr>
      <w:r>
        <w:rPr>
          <w:rFonts w:ascii="Times New Roman" w:cs="Times New Roman" w:eastAsia="Times New Roman" w:hAnsi="Times New Roman"/>
          <w:sz w:val="20"/>
          <w:szCs w:val="20"/>
          <w:color w:val="231F20"/>
        </w:rPr>
        <w:t>under the Plan totaled $806,000. The total intrinsic value of options exercised under the Plan during 2025, 2024 and 2023 totaled</w:t>
      </w:r>
    </w:p>
    <w:p>
      <w:pPr>
        <w:spacing w:after="0"/>
        <w:rPr>
          <w:sz w:val="20"/>
          <w:szCs w:val="20"/>
          <w:color w:val="auto"/>
        </w:rPr>
      </w:pPr>
      <w:r>
        <w:rPr>
          <w:rFonts w:ascii="Times New Roman" w:cs="Times New Roman" w:eastAsia="Times New Roman" w:hAnsi="Times New Roman"/>
          <w:sz w:val="20"/>
          <w:szCs w:val="20"/>
          <w:color w:val="231F20"/>
        </w:rPr>
        <w:t>$1,230,000, $281,000 and $0, respectively. The measurement date fair value of stock options vested under the Plan during 2025, 2024</w:t>
      </w:r>
    </w:p>
    <w:p>
      <w:pPr>
        <w:spacing w:after="0"/>
        <w:rPr>
          <w:sz w:val="20"/>
          <w:szCs w:val="20"/>
          <w:color w:val="auto"/>
        </w:rPr>
      </w:pPr>
      <w:r>
        <w:rPr>
          <w:rFonts w:ascii="Times New Roman" w:cs="Times New Roman" w:eastAsia="Times New Roman" w:hAnsi="Times New Roman"/>
          <w:sz w:val="20"/>
          <w:szCs w:val="20"/>
          <w:color w:val="231F20"/>
        </w:rPr>
        <w:t>and 2023 totaled $1,740,000, $2,525,000 and $3,317,000, respectively.</w:t>
      </w:r>
    </w:p>
    <w:p>
      <w:pPr>
        <w:spacing w:after="0" w:line="212"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The table below summarizes information regarding the Company’s outstanding and exercisable stock options under the Plan as of December 31, 2025:</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231F20"/>
              </w:rPr>
              <w:t>Contractual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rPr>
              <w:t>Weighted</w:t>
            </w: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120" w:type="dxa"/>
            <w:vAlign w:val="bottom"/>
          </w:tcPr>
          <w:p>
            <w:pPr>
              <w:spacing w:after="0"/>
              <w:rPr>
                <w:sz w:val="16"/>
                <w:szCs w:val="16"/>
                <w:color w:val="auto"/>
              </w:rPr>
            </w:pPr>
          </w:p>
        </w:tc>
        <w:tc>
          <w:tcPr>
            <w:tcW w:w="11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231F20"/>
              </w:rPr>
              <w:t>Life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rPr>
              <w:t>Average</w:t>
            </w:r>
          </w:p>
        </w:tc>
      </w:tr>
      <w:tr>
        <w:trPr>
          <w:trHeight w:val="203"/>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31F20"/>
              </w:rPr>
              <w:t>Range of Exercise Prices:</w:t>
            </w:r>
          </w:p>
        </w:tc>
        <w:tc>
          <w:tcPr>
            <w:tcW w:w="116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231F20"/>
              </w:rPr>
              <w:t>Outstanding</w:t>
            </w:r>
          </w:p>
        </w:tc>
        <w:tc>
          <w:tcPr>
            <w:tcW w:w="120" w:type="dxa"/>
            <w:vAlign w:val="bottom"/>
          </w:tcPr>
          <w:p>
            <w:pPr>
              <w:spacing w:after="0"/>
              <w:rPr>
                <w:sz w:val="17"/>
                <w:szCs w:val="17"/>
                <w:color w:val="auto"/>
              </w:rPr>
            </w:pPr>
          </w:p>
        </w:tc>
        <w:tc>
          <w:tcPr>
            <w:tcW w:w="114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1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Exercise Price</w:t>
            </w:r>
          </w:p>
        </w:tc>
      </w:tr>
      <w:tr>
        <w:trPr>
          <w:trHeight w:val="239"/>
        </w:trPr>
        <w:tc>
          <w:tcPr>
            <w:tcW w:w="484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$0.01 to $4.00</w:t>
            </w:r>
          </w:p>
        </w:tc>
        <w:tc>
          <w:tcPr>
            <w:tcW w:w="120" w:type="dxa"/>
            <w:vAlign w:val="bottom"/>
          </w:tcPr>
          <w:p>
            <w:pPr>
              <w:spacing w:after="0"/>
              <w:rPr>
                <w:sz w:val="20"/>
                <w:szCs w:val="20"/>
                <w:color w:val="auto"/>
              </w:rPr>
            </w:pPr>
          </w:p>
        </w:tc>
        <w:tc>
          <w:tcPr>
            <w:tcW w:w="1160" w:type="dxa"/>
            <w:vAlign w:val="bottom"/>
            <w:tcBorders>
              <w:top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208,000</w:t>
            </w:r>
          </w:p>
        </w:tc>
        <w:tc>
          <w:tcPr>
            <w:tcW w:w="120" w:type="dxa"/>
            <w:vAlign w:val="bottom"/>
          </w:tcPr>
          <w:p>
            <w:pPr>
              <w:spacing w:after="0"/>
              <w:rPr>
                <w:sz w:val="20"/>
                <w:szCs w:val="20"/>
                <w:color w:val="auto"/>
              </w:rPr>
            </w:pPr>
          </w:p>
        </w:tc>
        <w:tc>
          <w:tcPr>
            <w:tcW w:w="1140" w:type="dxa"/>
            <w:vAlign w:val="bottom"/>
            <w:tcBorders>
              <w:top w:val="single" w:sz="8" w:color="231F20"/>
            </w:tcBorders>
          </w:tcPr>
          <w:p>
            <w:pPr>
              <w:jc w:val="right"/>
              <w:ind w:right="17"/>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tcPr>
          <w:p>
            <w:pPr>
              <w:spacing w:after="0"/>
              <w:rPr>
                <w:sz w:val="20"/>
                <w:szCs w:val="20"/>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3.59</w:t>
            </w:r>
          </w:p>
        </w:tc>
      </w:tr>
      <w:tr>
        <w:trPr>
          <w:trHeight w:val="244"/>
        </w:trPr>
        <w:tc>
          <w:tcPr>
            <w:tcW w:w="496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$4.01 to $8.00</w:t>
            </w:r>
          </w:p>
        </w:tc>
        <w:tc>
          <w:tcPr>
            <w:tcW w:w="116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752,000</w:t>
            </w:r>
          </w:p>
        </w:tc>
        <w:tc>
          <w:tcPr>
            <w:tcW w:w="1260" w:type="dxa"/>
            <w:vAlign w:val="bottom"/>
            <w:gridSpan w:val="2"/>
            <w:shd w:val="clear" w:color="auto" w:fill="E6E7E8"/>
          </w:tcPr>
          <w:p>
            <w:pPr>
              <w:jc w:val="right"/>
              <w:ind w:right="17"/>
              <w:spacing w:after="0"/>
              <w:rPr>
                <w:sz w:val="20"/>
                <w:szCs w:val="20"/>
                <w:color w:val="auto"/>
              </w:rPr>
            </w:pPr>
            <w:r>
              <w:rPr>
                <w:rFonts w:ascii="Times New Roman" w:cs="Times New Roman" w:eastAsia="Times New Roman" w:hAnsi="Times New Roman"/>
                <w:sz w:val="20"/>
                <w:szCs w:val="20"/>
                <w:color w:val="231F20"/>
              </w:rPr>
              <w:t>6.0</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7.14</w:t>
            </w:r>
          </w:p>
        </w:tc>
      </w:tr>
      <w:tr>
        <w:trPr>
          <w:trHeight w:val="244"/>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$8.01 to $12.00</w:t>
            </w: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605,000</w:t>
            </w:r>
          </w:p>
        </w:tc>
        <w:tc>
          <w:tcPr>
            <w:tcW w:w="126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231F20"/>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8.41</w:t>
            </w:r>
          </w:p>
        </w:tc>
      </w:tr>
      <w:tr>
        <w:trPr>
          <w:trHeight w:val="244"/>
        </w:trPr>
        <w:tc>
          <w:tcPr>
            <w:tcW w:w="496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$12.01 to $16.00</w:t>
            </w:r>
          </w:p>
        </w:tc>
        <w:tc>
          <w:tcPr>
            <w:tcW w:w="116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1,352,000</w:t>
            </w:r>
          </w:p>
        </w:tc>
        <w:tc>
          <w:tcPr>
            <w:tcW w:w="1260" w:type="dxa"/>
            <w:vAlign w:val="bottom"/>
            <w:gridSpan w:val="2"/>
            <w:shd w:val="clear" w:color="auto" w:fill="E6E7E8"/>
          </w:tcPr>
          <w:p>
            <w:pPr>
              <w:jc w:val="right"/>
              <w:ind w:right="17"/>
              <w:spacing w:after="0"/>
              <w:rPr>
                <w:sz w:val="20"/>
                <w:szCs w:val="20"/>
                <w:color w:val="auto"/>
              </w:rPr>
            </w:pPr>
            <w:r>
              <w:rPr>
                <w:rFonts w:ascii="Times New Roman" w:cs="Times New Roman" w:eastAsia="Times New Roman" w:hAnsi="Times New Roman"/>
                <w:sz w:val="20"/>
                <w:szCs w:val="20"/>
                <w:color w:val="231F20"/>
              </w:rPr>
              <w:t>7.3</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15.24</w:t>
            </w:r>
          </w:p>
        </w:tc>
      </w:tr>
      <w:tr>
        <w:trPr>
          <w:trHeight w:val="244"/>
        </w:trPr>
        <w:tc>
          <w:tcPr>
            <w:tcW w:w="496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20"/>
                <w:szCs w:val="20"/>
                <w:color w:val="231F20"/>
              </w:rPr>
              <w:t>$16.01 to $20.00</w:t>
            </w:r>
          </w:p>
        </w:tc>
        <w:tc>
          <w:tcPr>
            <w:tcW w:w="116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74,000</w:t>
            </w:r>
          </w:p>
        </w:tc>
        <w:tc>
          <w:tcPr>
            <w:tcW w:w="1260" w:type="dxa"/>
            <w:vAlign w:val="bottom"/>
            <w:tcBorders>
              <w:bottom w:val="single" w:sz="8" w:color="E6E7E8"/>
            </w:tcBorders>
            <w:gridSpan w:val="2"/>
          </w:tcPr>
          <w:p>
            <w:pPr>
              <w:jc w:val="right"/>
              <w:ind w:right="17"/>
              <w:spacing w:after="0"/>
              <w:rPr>
                <w:sz w:val="20"/>
                <w:szCs w:val="20"/>
                <w:color w:val="auto"/>
              </w:rPr>
            </w:pPr>
            <w:r>
              <w:rPr>
                <w:rFonts w:ascii="Times New Roman" w:cs="Times New Roman" w:eastAsia="Times New Roman" w:hAnsi="Times New Roman"/>
                <w:sz w:val="20"/>
                <w:szCs w:val="20"/>
                <w:color w:val="231F20"/>
              </w:rPr>
              <w:t>5.8</w:t>
            </w:r>
          </w:p>
        </w:tc>
        <w:tc>
          <w:tcPr>
            <w:tcW w:w="120" w:type="dxa"/>
            <w:vAlign w:val="bottom"/>
            <w:tcBorders>
              <w:bottom w:val="single" w:sz="8" w:color="E6E7E8"/>
            </w:tcBorders>
          </w:tcPr>
          <w:p>
            <w:pPr>
              <w:spacing w:after="0"/>
              <w:rPr>
                <w:sz w:val="21"/>
                <w:szCs w:val="21"/>
                <w:color w:val="auto"/>
              </w:rPr>
            </w:pPr>
          </w:p>
        </w:tc>
        <w:tc>
          <w:tcPr>
            <w:tcW w:w="160" w:type="dxa"/>
            <w:vAlign w:val="bottom"/>
            <w:tcBorders>
              <w:bottom w:val="single" w:sz="8" w:color="E6E7E8"/>
            </w:tcBorders>
          </w:tcPr>
          <w:p>
            <w:pPr>
              <w:spacing w:after="0"/>
              <w:rPr>
                <w:sz w:val="21"/>
                <w:szCs w:val="21"/>
                <w:color w:val="auto"/>
              </w:rPr>
            </w:pPr>
          </w:p>
        </w:tc>
        <w:tc>
          <w:tcPr>
            <w:tcW w:w="980" w:type="dxa"/>
            <w:vAlign w:val="bottom"/>
            <w:tcBorders>
              <w:bottom w:val="single" w:sz="8" w:color="E6E7E8"/>
            </w:tcBorders>
          </w:tcPr>
          <w:p>
            <w:pPr>
              <w:jc w:val="right"/>
              <w:spacing w:after="0"/>
              <w:rPr>
                <w:sz w:val="20"/>
                <w:szCs w:val="20"/>
                <w:color w:val="auto"/>
              </w:rPr>
            </w:pPr>
            <w:r>
              <w:rPr>
                <w:rFonts w:ascii="Times New Roman" w:cs="Times New Roman" w:eastAsia="Times New Roman" w:hAnsi="Times New Roman"/>
                <w:sz w:val="20"/>
                <w:szCs w:val="20"/>
                <w:color w:val="231F20"/>
              </w:rPr>
              <w:t>17.50</w:t>
            </w:r>
          </w:p>
        </w:tc>
      </w:tr>
      <w:tr>
        <w:trPr>
          <w:trHeight w:val="239"/>
        </w:trPr>
        <w:tc>
          <w:tcPr>
            <w:tcW w:w="4840" w:type="dxa"/>
            <w:vAlign w:val="bottom"/>
            <w:shd w:val="clear" w:color="auto" w:fill="E6E7E8"/>
          </w:tcPr>
          <w:p>
            <w:pPr>
              <w:spacing w:after="0"/>
              <w:rPr>
                <w:sz w:val="20"/>
                <w:szCs w:val="20"/>
                <w:color w:val="auto"/>
              </w:rPr>
            </w:pPr>
          </w:p>
        </w:tc>
        <w:tc>
          <w:tcPr>
            <w:tcW w:w="120" w:type="dxa"/>
            <w:vAlign w:val="bottom"/>
            <w:shd w:val="clear" w:color="auto" w:fill="E6E7E8"/>
          </w:tcPr>
          <w:p>
            <w:pPr>
              <w:spacing w:after="0"/>
              <w:rPr>
                <w:sz w:val="20"/>
                <w:szCs w:val="20"/>
                <w:color w:val="auto"/>
              </w:rPr>
            </w:pPr>
          </w:p>
        </w:tc>
        <w:tc>
          <w:tcPr>
            <w:tcW w:w="116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b w:val="1"/>
                <w:bCs w:val="1"/>
                <w:color w:val="231F20"/>
              </w:rPr>
              <w:t>2,991,000</w:t>
            </w:r>
          </w:p>
        </w:tc>
        <w:tc>
          <w:tcPr>
            <w:tcW w:w="1260" w:type="dxa"/>
            <w:vAlign w:val="bottom"/>
            <w:gridSpan w:val="2"/>
            <w:shd w:val="clear" w:color="auto" w:fill="E6E7E8"/>
          </w:tcPr>
          <w:p>
            <w:pPr>
              <w:jc w:val="right"/>
              <w:ind w:right="17"/>
              <w:spacing w:after="0"/>
              <w:rPr>
                <w:sz w:val="20"/>
                <w:szCs w:val="20"/>
                <w:color w:val="auto"/>
              </w:rPr>
            </w:pPr>
            <w:r>
              <w:rPr>
                <w:rFonts w:ascii="Times New Roman" w:cs="Times New Roman" w:eastAsia="Times New Roman" w:hAnsi="Times New Roman"/>
                <w:sz w:val="20"/>
                <w:szCs w:val="20"/>
                <w:b w:val="1"/>
                <w:bCs w:val="1"/>
                <w:color w:val="231F20"/>
              </w:rPr>
              <w:t>6.6</w:t>
            </w:r>
          </w:p>
        </w:tc>
        <w:tc>
          <w:tcPr>
            <w:tcW w:w="2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11.07</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780"/>
          </w:cols>
          <w:pgMar w:left="540" w:top="746" w:right="560" w:bottom="0" w:gutter="0" w:footer="0" w:header="0"/>
          <w:type w:val="continuous"/>
        </w:sectPr>
      </w:pPr>
    </w:p>
    <w:bookmarkStart w:id="71" w:name="page72"/>
    <w:bookmarkEnd w:id="71"/>
    <w:tbl>
      <w:tblPr>
        <w:tblLayout w:type="fixed"/>
        <w:tblInd w:w="108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231F20"/>
                <w:w w:val="98"/>
              </w:rPr>
              <w:t>Average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231F20"/>
              </w:rPr>
              <w:t>Remaining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231F20"/>
              </w:rPr>
              <w:t>Contractual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rPr>
              <w:t>Weighted</w:t>
            </w: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231F20"/>
              </w:rPr>
              <w:t>Options</w:t>
            </w:r>
          </w:p>
        </w:tc>
        <w:tc>
          <w:tcPr>
            <w:tcW w:w="120" w:type="dxa"/>
            <w:vAlign w:val="bottom"/>
          </w:tcPr>
          <w:p>
            <w:pPr>
              <w:spacing w:after="0"/>
              <w:rPr>
                <w:sz w:val="16"/>
                <w:szCs w:val="16"/>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231F20"/>
              </w:rPr>
              <w:t>Life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231F20"/>
              </w:rPr>
              <w:t>Average</w:t>
            </w:r>
          </w:p>
        </w:tc>
      </w:tr>
      <w:tr>
        <w:trPr>
          <w:trHeight w:val="203"/>
        </w:trPr>
        <w:tc>
          <w:tcPr>
            <w:tcW w:w="48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Range of Exercise Prices:</w:t>
            </w:r>
          </w:p>
        </w:tc>
        <w:tc>
          <w:tcPr>
            <w:tcW w:w="120" w:type="dxa"/>
            <w:vAlign w:val="bottom"/>
            <w:tcBorders>
              <w:bottom w:val="single" w:sz="8" w:color="E6E7E8"/>
            </w:tcBorders>
          </w:tcPr>
          <w:p>
            <w:pPr>
              <w:spacing w:after="0"/>
              <w:rPr>
                <w:sz w:val="17"/>
                <w:szCs w:val="17"/>
                <w:color w:val="auto"/>
              </w:rPr>
            </w:pPr>
          </w:p>
        </w:tc>
        <w:tc>
          <w:tcPr>
            <w:tcW w:w="1160" w:type="dxa"/>
            <w:vAlign w:val="bottom"/>
            <w:tcBorders>
              <w:bottom w:val="single" w:sz="8" w:color="231F20"/>
            </w:tcBorders>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Exercisable</w:t>
            </w:r>
          </w:p>
        </w:tc>
        <w:tc>
          <w:tcPr>
            <w:tcW w:w="120" w:type="dxa"/>
            <w:vAlign w:val="bottom"/>
            <w:tcBorders>
              <w:bottom w:val="single" w:sz="8" w:color="E6E7E8"/>
            </w:tcBorders>
          </w:tcPr>
          <w:p>
            <w:pPr>
              <w:spacing w:after="0"/>
              <w:rPr>
                <w:sz w:val="17"/>
                <w:szCs w:val="17"/>
                <w:color w:val="auto"/>
              </w:rPr>
            </w:pPr>
          </w:p>
        </w:tc>
        <w:tc>
          <w:tcPr>
            <w:tcW w:w="1140" w:type="dxa"/>
            <w:vAlign w:val="bottom"/>
            <w:tcBorders>
              <w:bottom w:val="single" w:sz="8" w:color="231F20"/>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231F20"/>
                <w:w w:val="99"/>
              </w:rPr>
              <w:t>(in years)</w:t>
            </w:r>
          </w:p>
        </w:tc>
        <w:tc>
          <w:tcPr>
            <w:tcW w:w="120" w:type="dxa"/>
            <w:vAlign w:val="bottom"/>
            <w:tcBorders>
              <w:bottom w:val="single" w:sz="8" w:color="E6E7E8"/>
            </w:tcBorders>
          </w:tcPr>
          <w:p>
            <w:pPr>
              <w:spacing w:after="0"/>
              <w:rPr>
                <w:sz w:val="17"/>
                <w:szCs w:val="17"/>
                <w:color w:val="auto"/>
              </w:rPr>
            </w:pPr>
          </w:p>
        </w:tc>
        <w:tc>
          <w:tcPr>
            <w:tcW w:w="11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Exercise Price</w:t>
            </w:r>
          </w:p>
        </w:tc>
      </w:tr>
      <w:tr>
        <w:trPr>
          <w:trHeight w:val="239"/>
        </w:trPr>
        <w:tc>
          <w:tcPr>
            <w:tcW w:w="48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$0.01 to $4.00</w:t>
            </w:r>
          </w:p>
        </w:tc>
        <w:tc>
          <w:tcPr>
            <w:tcW w:w="120" w:type="dxa"/>
            <w:vAlign w:val="bottom"/>
            <w:shd w:val="clear" w:color="auto" w:fill="E6E7E8"/>
          </w:tcPr>
          <w:p>
            <w:pPr>
              <w:spacing w:after="0"/>
              <w:rPr>
                <w:sz w:val="20"/>
                <w:szCs w:val="20"/>
                <w:color w:val="auto"/>
              </w:rPr>
            </w:pPr>
          </w:p>
        </w:tc>
        <w:tc>
          <w:tcPr>
            <w:tcW w:w="1160" w:type="dxa"/>
            <w:vAlign w:val="bottom"/>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208,000</w:t>
            </w:r>
          </w:p>
        </w:tc>
        <w:tc>
          <w:tcPr>
            <w:tcW w:w="120" w:type="dxa"/>
            <w:vAlign w:val="bottom"/>
            <w:shd w:val="clear" w:color="auto" w:fill="E6E7E8"/>
          </w:tcPr>
          <w:p>
            <w:pPr>
              <w:spacing w:after="0"/>
              <w:rPr>
                <w:sz w:val="20"/>
                <w:szCs w:val="20"/>
                <w:color w:val="auto"/>
              </w:rPr>
            </w:pPr>
          </w:p>
        </w:tc>
        <w:tc>
          <w:tcPr>
            <w:tcW w:w="114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20"/>
                <w:szCs w:val="20"/>
                <w:color w:val="231F20"/>
              </w:rPr>
              <w:t>0.3</w:t>
            </w:r>
          </w:p>
        </w:tc>
        <w:tc>
          <w:tcPr>
            <w:tcW w:w="12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3.59</w:t>
            </w: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$4.01 to $8.00</w:t>
            </w:r>
          </w:p>
        </w:tc>
        <w:tc>
          <w:tcPr>
            <w:tcW w:w="12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385,000</w:t>
            </w:r>
          </w:p>
        </w:tc>
        <w:tc>
          <w:tcPr>
            <w:tcW w:w="1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20"/>
                <w:szCs w:val="20"/>
                <w:color w:val="231F20"/>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6.90</w:t>
            </w:r>
          </w:p>
        </w:tc>
      </w:tr>
      <w:tr>
        <w:trPr>
          <w:trHeight w:val="244"/>
        </w:trPr>
        <w:tc>
          <w:tcPr>
            <w:tcW w:w="48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$8.01 to $12.00</w:t>
            </w:r>
          </w:p>
        </w:tc>
        <w:tc>
          <w:tcPr>
            <w:tcW w:w="1280" w:type="dxa"/>
            <w:vAlign w:val="bottom"/>
            <w:gridSpan w:val="2"/>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203,000</w:t>
            </w:r>
          </w:p>
        </w:tc>
        <w:tc>
          <w:tcPr>
            <w:tcW w:w="1260" w:type="dxa"/>
            <w:vAlign w:val="bottom"/>
            <w:gridSpan w:val="2"/>
            <w:shd w:val="clear" w:color="auto" w:fill="E6E7E8"/>
          </w:tcPr>
          <w:p>
            <w:pPr>
              <w:jc w:val="right"/>
              <w:ind w:right="15"/>
              <w:spacing w:after="0"/>
              <w:rPr>
                <w:sz w:val="20"/>
                <w:szCs w:val="20"/>
                <w:color w:val="auto"/>
              </w:rPr>
            </w:pPr>
            <w:r>
              <w:rPr>
                <w:rFonts w:ascii="Times New Roman" w:cs="Times New Roman" w:eastAsia="Times New Roman" w:hAnsi="Times New Roman"/>
                <w:sz w:val="20"/>
                <w:szCs w:val="20"/>
                <w:color w:val="231F20"/>
              </w:rPr>
              <w:t>8.1</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8.40</w:t>
            </w: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$12.01 to $16.00</w:t>
            </w:r>
          </w:p>
        </w:tc>
        <w:tc>
          <w:tcPr>
            <w:tcW w:w="1280" w:type="dxa"/>
            <w:vAlign w:val="bottom"/>
            <w:gridSpan w:val="2"/>
          </w:tcPr>
          <w:p>
            <w:pPr>
              <w:jc w:val="right"/>
              <w:ind w:right="8"/>
              <w:spacing w:after="0"/>
              <w:rPr>
                <w:sz w:val="20"/>
                <w:szCs w:val="20"/>
                <w:color w:val="auto"/>
              </w:rPr>
            </w:pPr>
            <w:r>
              <w:rPr>
                <w:rFonts w:ascii="Times New Roman" w:cs="Times New Roman" w:eastAsia="Times New Roman" w:hAnsi="Times New Roman"/>
                <w:sz w:val="20"/>
                <w:szCs w:val="20"/>
                <w:color w:val="231F20"/>
              </w:rPr>
              <w:t>621,000</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231F20"/>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15.07</w:t>
            </w:r>
          </w:p>
        </w:tc>
      </w:tr>
      <w:tr>
        <w:trPr>
          <w:trHeight w:val="244"/>
        </w:trPr>
        <w:tc>
          <w:tcPr>
            <w:tcW w:w="484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$16.01 to $20.00</w:t>
            </w:r>
          </w:p>
        </w:tc>
        <w:tc>
          <w:tcPr>
            <w:tcW w:w="1280" w:type="dxa"/>
            <w:vAlign w:val="bottom"/>
            <w:gridSpan w:val="2"/>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74,000</w:t>
            </w:r>
          </w:p>
        </w:tc>
        <w:tc>
          <w:tcPr>
            <w:tcW w:w="1260" w:type="dxa"/>
            <w:vAlign w:val="bottom"/>
            <w:gridSpan w:val="2"/>
            <w:shd w:val="clear" w:color="auto" w:fill="E6E7E8"/>
          </w:tcPr>
          <w:p>
            <w:pPr>
              <w:jc w:val="right"/>
              <w:ind w:right="15"/>
              <w:spacing w:after="0"/>
              <w:rPr>
                <w:sz w:val="20"/>
                <w:szCs w:val="20"/>
                <w:color w:val="auto"/>
              </w:rPr>
            </w:pPr>
            <w:r>
              <w:rPr>
                <w:rFonts w:ascii="Times New Roman" w:cs="Times New Roman" w:eastAsia="Times New Roman" w:hAnsi="Times New Roman"/>
                <w:sz w:val="20"/>
                <w:szCs w:val="20"/>
                <w:color w:val="231F20"/>
              </w:rPr>
              <w:t>5.8</w:t>
            </w:r>
          </w:p>
        </w:tc>
        <w:tc>
          <w:tcPr>
            <w:tcW w:w="120" w:type="dxa"/>
            <w:vAlign w:val="bottom"/>
            <w:shd w:val="clear" w:color="auto" w:fill="E6E7E8"/>
          </w:tcPr>
          <w:p>
            <w:pPr>
              <w:spacing w:after="0"/>
              <w:rPr>
                <w:sz w:val="21"/>
                <w:szCs w:val="21"/>
                <w:color w:val="auto"/>
              </w:rPr>
            </w:pPr>
          </w:p>
        </w:tc>
        <w:tc>
          <w:tcPr>
            <w:tcW w:w="160" w:type="dxa"/>
            <w:vAlign w:val="bottom"/>
            <w:shd w:val="clear" w:color="auto" w:fill="E6E7E8"/>
          </w:tcPr>
          <w:p>
            <w:pPr>
              <w:spacing w:after="0"/>
              <w:rPr>
                <w:sz w:val="21"/>
                <w:szCs w:val="21"/>
                <w:color w:val="auto"/>
              </w:rPr>
            </w:pPr>
          </w:p>
        </w:tc>
        <w:tc>
          <w:tcPr>
            <w:tcW w:w="9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17.50</w:t>
            </w:r>
          </w:p>
        </w:tc>
      </w:tr>
      <w:tr>
        <w:trPr>
          <w:trHeight w:val="239"/>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b w:val="1"/>
                <w:bCs w:val="1"/>
                <w:color w:val="231F20"/>
              </w:rPr>
              <w:t>1,491,000</w:t>
            </w:r>
          </w:p>
        </w:tc>
        <w:tc>
          <w:tcPr>
            <w:tcW w:w="126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b w:val="1"/>
                <w:bCs w:val="1"/>
                <w:color w:val="231F20"/>
              </w:rPr>
              <w:t>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10.57</w:t>
            </w: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Stock options of 1,069,000 units, 525,000 units and 205,000 units were issued under the Plan during the year ended December 31, 2025, 2024, and 2023, respectively, with weighted-average terms of 3.4 years, 3.1 years, and 3.7 years. The Company used the following average assumptions with respect to the Black-Scholes option pricing model for Mastech Digital stock options issued under the Plan during 2025, 2024, and 2023.</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r>
      <w:tr>
        <w:trPr>
          <w:trHeight w:val="193"/>
        </w:trPr>
        <w:tc>
          <w:tcPr>
            <w:tcW w:w="1740" w:type="dxa"/>
            <w:vAlign w:val="bottom"/>
            <w:tcBorders>
              <w:bottom w:val="single" w:sz="8" w:color="E6E7E8"/>
            </w:tcBorders>
          </w:tcPr>
          <w:p>
            <w:pPr>
              <w:spacing w:after="0"/>
              <w:rPr>
                <w:sz w:val="16"/>
                <w:szCs w:val="16"/>
                <w:color w:val="auto"/>
              </w:rPr>
            </w:pPr>
          </w:p>
        </w:tc>
        <w:tc>
          <w:tcPr>
            <w:tcW w:w="3180" w:type="dxa"/>
            <w:vAlign w:val="bottom"/>
            <w:tcBorders>
              <w:bottom w:val="single" w:sz="8" w:color="E6E7E8"/>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E6E7E8"/>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Borders>
              <w:bottom w:val="single" w:sz="8" w:color="E6E7E8"/>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bottom w:val="single" w:sz="8" w:color="231F20"/>
            </w:tcBorders>
          </w:tcPr>
          <w:p>
            <w:pPr>
              <w:spacing w:after="0"/>
              <w:rPr>
                <w:sz w:val="16"/>
                <w:szCs w:val="16"/>
                <w:color w:val="auto"/>
              </w:rPr>
            </w:pPr>
          </w:p>
        </w:tc>
      </w:tr>
      <w:tr>
        <w:trPr>
          <w:trHeight w:val="247"/>
        </w:trPr>
        <w:tc>
          <w:tcPr>
            <w:tcW w:w="1740" w:type="dxa"/>
            <w:vAlign w:val="bottom"/>
            <w:tcBorders>
              <w:bottom w:val="single" w:sz="8" w:color="231F20"/>
            </w:tcBorders>
            <w:shd w:val="clear" w:color="auto" w:fill="E6E7E8"/>
          </w:tcPr>
          <w:p>
            <w:pPr>
              <w:spacing w:after="0" w:line="227" w:lineRule="exact"/>
              <w:rPr>
                <w:sz w:val="20"/>
                <w:szCs w:val="20"/>
                <w:color w:val="auto"/>
              </w:rPr>
            </w:pPr>
            <w:r>
              <w:rPr>
                <w:rFonts w:ascii="Times New Roman" w:cs="Times New Roman" w:eastAsia="Times New Roman" w:hAnsi="Times New Roman"/>
                <w:sz w:val="20"/>
                <w:szCs w:val="20"/>
                <w:b w:val="1"/>
                <w:bCs w:val="1"/>
                <w:color w:val="231F20"/>
                <w:w w:val="99"/>
              </w:rPr>
              <w:t>Stock option grants:</w:t>
            </w:r>
          </w:p>
        </w:tc>
        <w:tc>
          <w:tcPr>
            <w:tcW w:w="3180" w:type="dxa"/>
            <w:vAlign w:val="bottom"/>
            <w:tcBorders>
              <w:bottom w:val="single" w:sz="8" w:color="E6E7E8"/>
            </w:tcBorders>
            <w:shd w:val="clear" w:color="auto" w:fill="E6E7E8"/>
          </w:tcPr>
          <w:p>
            <w:pPr>
              <w:spacing w:after="0"/>
              <w:rPr>
                <w:sz w:val="21"/>
                <w:szCs w:val="21"/>
                <w:color w:val="auto"/>
              </w:rPr>
            </w:pPr>
          </w:p>
        </w:tc>
        <w:tc>
          <w:tcPr>
            <w:tcW w:w="200" w:type="dxa"/>
            <w:vAlign w:val="bottom"/>
            <w:tcBorders>
              <w:bottom w:val="single" w:sz="8" w:color="E6E7E8"/>
            </w:tcBorders>
            <w:shd w:val="clear" w:color="auto" w:fill="E6E7E8"/>
          </w:tcPr>
          <w:p>
            <w:pPr>
              <w:spacing w:after="0"/>
              <w:rPr>
                <w:sz w:val="21"/>
                <w:szCs w:val="21"/>
                <w:color w:val="auto"/>
              </w:rPr>
            </w:pPr>
          </w:p>
        </w:tc>
        <w:tc>
          <w:tcPr>
            <w:tcW w:w="960" w:type="dxa"/>
            <w:vAlign w:val="bottom"/>
            <w:tcBorders>
              <w:bottom w:val="single" w:sz="8" w:color="E6E7E8"/>
            </w:tcBorders>
            <w:shd w:val="clear" w:color="auto" w:fill="E6E7E8"/>
          </w:tcPr>
          <w:p>
            <w:pPr>
              <w:spacing w:after="0"/>
              <w:rPr>
                <w:sz w:val="21"/>
                <w:szCs w:val="21"/>
                <w:color w:val="auto"/>
              </w:rPr>
            </w:pPr>
          </w:p>
        </w:tc>
        <w:tc>
          <w:tcPr>
            <w:tcW w:w="120" w:type="dxa"/>
            <w:vAlign w:val="bottom"/>
            <w:tcBorders>
              <w:bottom w:val="single" w:sz="8" w:color="E6E7E8"/>
            </w:tcBorders>
            <w:shd w:val="clear" w:color="auto" w:fill="E6E7E8"/>
          </w:tcPr>
          <w:p>
            <w:pPr>
              <w:spacing w:after="0"/>
              <w:rPr>
                <w:sz w:val="21"/>
                <w:szCs w:val="21"/>
                <w:color w:val="auto"/>
              </w:rPr>
            </w:pPr>
          </w:p>
        </w:tc>
        <w:tc>
          <w:tcPr>
            <w:tcW w:w="200" w:type="dxa"/>
            <w:vAlign w:val="bottom"/>
            <w:tcBorders>
              <w:bottom w:val="single" w:sz="8" w:color="E6E7E8"/>
            </w:tcBorders>
            <w:shd w:val="clear" w:color="auto" w:fill="E6E7E8"/>
          </w:tcPr>
          <w:p>
            <w:pPr>
              <w:spacing w:after="0"/>
              <w:rPr>
                <w:sz w:val="21"/>
                <w:szCs w:val="21"/>
                <w:color w:val="auto"/>
              </w:rPr>
            </w:pPr>
          </w:p>
        </w:tc>
        <w:tc>
          <w:tcPr>
            <w:tcW w:w="960" w:type="dxa"/>
            <w:vAlign w:val="bottom"/>
            <w:tcBorders>
              <w:bottom w:val="single" w:sz="8" w:color="E6E7E8"/>
            </w:tcBorders>
            <w:shd w:val="clear" w:color="auto" w:fill="E6E7E8"/>
          </w:tcPr>
          <w:p>
            <w:pPr>
              <w:spacing w:after="0"/>
              <w:rPr>
                <w:sz w:val="21"/>
                <w:szCs w:val="21"/>
                <w:color w:val="auto"/>
              </w:rPr>
            </w:pPr>
          </w:p>
        </w:tc>
        <w:tc>
          <w:tcPr>
            <w:tcW w:w="120" w:type="dxa"/>
            <w:vAlign w:val="bottom"/>
            <w:tcBorders>
              <w:bottom w:val="single" w:sz="8" w:color="E6E7E8"/>
            </w:tcBorders>
            <w:shd w:val="clear" w:color="auto" w:fill="E6E7E8"/>
          </w:tcPr>
          <w:p>
            <w:pPr>
              <w:spacing w:after="0"/>
              <w:rPr>
                <w:sz w:val="21"/>
                <w:szCs w:val="21"/>
                <w:color w:val="auto"/>
              </w:rPr>
            </w:pPr>
          </w:p>
        </w:tc>
        <w:tc>
          <w:tcPr>
            <w:tcW w:w="220" w:type="dxa"/>
            <w:vAlign w:val="bottom"/>
            <w:tcBorders>
              <w:bottom w:val="single" w:sz="8" w:color="E6E7E8"/>
            </w:tcBorders>
            <w:shd w:val="clear" w:color="auto" w:fill="E6E7E8"/>
          </w:tcPr>
          <w:p>
            <w:pPr>
              <w:spacing w:after="0"/>
              <w:rPr>
                <w:sz w:val="21"/>
                <w:szCs w:val="21"/>
                <w:color w:val="auto"/>
              </w:rPr>
            </w:pPr>
          </w:p>
        </w:tc>
        <w:tc>
          <w:tcPr>
            <w:tcW w:w="740" w:type="dxa"/>
            <w:vAlign w:val="bottom"/>
            <w:tcBorders>
              <w:bottom w:val="single" w:sz="8" w:color="E6E7E8"/>
            </w:tcBorders>
            <w:shd w:val="clear" w:color="auto" w:fill="E6E7E8"/>
          </w:tcPr>
          <w:p>
            <w:pPr>
              <w:spacing w:after="0"/>
              <w:rPr>
                <w:sz w:val="21"/>
                <w:szCs w:val="21"/>
                <w:color w:val="auto"/>
              </w:rPr>
            </w:pPr>
          </w:p>
        </w:tc>
        <w:tc>
          <w:tcPr>
            <w:tcW w:w="200" w:type="dxa"/>
            <w:vAlign w:val="bottom"/>
            <w:tcBorders>
              <w:bottom w:val="single" w:sz="8" w:color="E6E7E8"/>
            </w:tcBorders>
            <w:shd w:val="clear" w:color="auto" w:fill="E6E7E8"/>
          </w:tcPr>
          <w:p>
            <w:pPr>
              <w:spacing w:after="0"/>
              <w:rPr>
                <w:sz w:val="21"/>
                <w:szCs w:val="21"/>
                <w:color w:val="auto"/>
              </w:rPr>
            </w:pPr>
          </w:p>
        </w:tc>
      </w:tr>
      <w:tr>
        <w:trPr>
          <w:trHeight w:val="216"/>
        </w:trPr>
        <w:tc>
          <w:tcPr>
            <w:tcW w:w="492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231F20"/>
              </w:rPr>
              <w:t>Weighted-average risk-free interest rate</w:t>
            </w:r>
          </w:p>
        </w:tc>
        <w:tc>
          <w:tcPr>
            <w:tcW w:w="2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231F20"/>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20"/>
                <w:szCs w:val="20"/>
                <w:color w:val="231F20"/>
              </w:rPr>
              <w:t>4.0%</w:t>
            </w:r>
          </w:p>
        </w:tc>
      </w:tr>
      <w:tr>
        <w:trPr>
          <w:trHeight w:val="244"/>
        </w:trPr>
        <w:tc>
          <w:tcPr>
            <w:tcW w:w="492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Weighted-average dividend yield</w:t>
            </w: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1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40" w:type="dxa"/>
            <w:vAlign w:val="bottom"/>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rPr>
              <w:t>0.0%</w:t>
            </w:r>
          </w:p>
        </w:tc>
      </w:tr>
      <w:tr>
        <w:trPr>
          <w:trHeight w:val="244"/>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63.0%</w:t>
            </w:r>
          </w:p>
        </w:tc>
      </w:tr>
      <w:tr>
        <w:trPr>
          <w:trHeight w:val="244"/>
        </w:trPr>
        <w:tc>
          <w:tcPr>
            <w:tcW w:w="492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Expected term (in years)</w:t>
            </w: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jc w:val="right"/>
              <w:ind w:right="126"/>
              <w:spacing w:after="0"/>
              <w:rPr>
                <w:sz w:val="20"/>
                <w:szCs w:val="20"/>
                <w:color w:val="auto"/>
              </w:rPr>
            </w:pPr>
            <w:r>
              <w:rPr>
                <w:rFonts w:ascii="Times New Roman" w:cs="Times New Roman" w:eastAsia="Times New Roman" w:hAnsi="Times New Roman"/>
                <w:sz w:val="20"/>
                <w:szCs w:val="20"/>
                <w:color w:val="231F20"/>
              </w:rPr>
              <w:t>3.4</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jc w:val="right"/>
              <w:ind w:right="123"/>
              <w:spacing w:after="0"/>
              <w:rPr>
                <w:sz w:val="20"/>
                <w:szCs w:val="20"/>
                <w:color w:val="auto"/>
              </w:rPr>
            </w:pPr>
            <w:r>
              <w:rPr>
                <w:rFonts w:ascii="Times New Roman" w:cs="Times New Roman" w:eastAsia="Times New Roman" w:hAnsi="Times New Roman"/>
                <w:sz w:val="20"/>
                <w:szCs w:val="20"/>
                <w:color w:val="231F20"/>
              </w:rPr>
              <w:t>3.1</w:t>
            </w:r>
          </w:p>
        </w:tc>
        <w:tc>
          <w:tcPr>
            <w:tcW w:w="1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7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200" w:type="dxa"/>
            <w:vAlign w:val="bottom"/>
            <w:shd w:val="clear" w:color="auto" w:fill="E6E7E8"/>
          </w:tcPr>
          <w:p>
            <w:pPr>
              <w:spacing w:after="0"/>
              <w:rPr>
                <w:sz w:val="21"/>
                <w:szCs w:val="21"/>
                <w:color w:val="auto"/>
              </w:rPr>
            </w:pPr>
          </w:p>
        </w:tc>
      </w:tr>
      <w:tr>
        <w:trPr>
          <w:trHeight w:val="266"/>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Weighted-average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231F20"/>
              </w:rPr>
              <w:t>6.05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231F20"/>
              </w:rPr>
              <w:t>3.08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w:t>
            </w: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-1102360</wp:posOffset>
            </wp:positionV>
            <wp:extent cx="226949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2269490" cy="38100"/>
                    </a:xfrm>
                    <a:prstGeom prst="rect">
                      <a:avLst/>
                    </a:prstGeom>
                    <a:noFill/>
                  </pic:spPr>
                </pic:pic>
              </a:graphicData>
            </a:graphic>
          </wp:anchor>
        </w:drawing>
      </w:r>
    </w:p>
    <w:p>
      <w:pPr>
        <w:spacing w:after="0" w:line="21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Risk- free interest rate </w:t>
      </w:r>
      <w:r>
        <w:rPr>
          <w:rFonts w:ascii="Times New Roman" w:cs="Times New Roman" w:eastAsia="Times New Roman" w:hAnsi="Times New Roman"/>
          <w:sz w:val="20"/>
          <w:szCs w:val="20"/>
          <w:color w:val="231F20"/>
        </w:rPr>
        <w:t>— The risk-free rate for stock options granted during the period was determined by using a U.S. Treasury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rate for the period that coincided with the expected term of the options.</w:t>
      </w:r>
    </w:p>
    <w:p>
      <w:pPr>
        <w:spacing w:after="0" w:line="169"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Expected dividend yield </w:t>
      </w:r>
      <w:r>
        <w:rPr>
          <w:rFonts w:ascii="Times New Roman" w:cs="Times New Roman" w:eastAsia="Times New Roman" w:hAnsi="Times New Roman"/>
          <w:sz w:val="20"/>
          <w:szCs w:val="20"/>
          <w:color w:val="231F20"/>
        </w:rPr>
        <w:t>— The Company did not contemplate a recurring dividend program. Accordingly, the dividend yield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assumption used was 0.0%.</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 xml:space="preserve">Expected volatility </w:t>
      </w:r>
      <w:r>
        <w:rPr>
          <w:rFonts w:ascii="Times New Roman" w:cs="Times New Roman" w:eastAsia="Times New Roman" w:hAnsi="Times New Roman"/>
          <w:sz w:val="20"/>
          <w:szCs w:val="20"/>
          <w:color w:val="231F20"/>
        </w:rPr>
        <w:t>— Expected volatility was determined based on the historical volatility of Mastech Digital’s common stock.</w:t>
      </w:r>
    </w:p>
    <w:p>
      <w:pPr>
        <w:spacing w:after="0" w:line="24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Expected term </w:t>
      </w:r>
      <w:r>
        <w:rPr>
          <w:rFonts w:ascii="Times New Roman" w:cs="Times New Roman" w:eastAsia="Times New Roman" w:hAnsi="Times New Roman"/>
          <w:sz w:val="20"/>
          <w:szCs w:val="20"/>
          <w:color w:val="231F20"/>
        </w:rPr>
        <w:t>— Mastech Digital’s expected term was based on the exercise history of our employees and the vesting term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stock options.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Following is a summary of Mastech’s restricted stock activity under the Plan for the three years ended December 31, 2025:</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80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239"/>
        </w:trPr>
        <w:tc>
          <w:tcPr>
            <w:tcW w:w="4980" w:type="dxa"/>
            <w:vAlign w:val="bottom"/>
          </w:tcPr>
          <w:p>
            <w:pPr>
              <w:spacing w:after="0"/>
              <w:rPr>
                <w:sz w:val="20"/>
                <w:szCs w:val="20"/>
                <w:color w:val="auto"/>
              </w:rPr>
            </w:pPr>
          </w:p>
        </w:tc>
        <w:tc>
          <w:tcPr>
            <w:tcW w:w="114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20"/>
                <w:szCs w:val="20"/>
                <w:color w:val="auto"/>
              </w:rPr>
            </w:pPr>
          </w:p>
        </w:tc>
      </w:tr>
      <w:tr>
        <w:trPr>
          <w:trHeight w:val="239"/>
        </w:trPr>
        <w:tc>
          <w:tcPr>
            <w:tcW w:w="498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Beginning outstanding balance</w:t>
            </w:r>
          </w:p>
        </w:tc>
        <w:tc>
          <w:tcPr>
            <w:tcW w:w="1140" w:type="dxa"/>
            <w:vAlign w:val="bottom"/>
            <w:tcBorders>
              <w:top w:val="single" w:sz="8" w:color="231F20"/>
            </w:tcBorders>
            <w:shd w:val="clear" w:color="auto" w:fill="E6E7E8"/>
          </w:tcPr>
          <w:p>
            <w:pPr>
              <w:jc w:val="right"/>
              <w:ind w:right="6"/>
              <w:spacing w:after="0"/>
              <w:rPr>
                <w:sz w:val="20"/>
                <w:szCs w:val="20"/>
                <w:color w:val="auto"/>
              </w:rPr>
            </w:pPr>
            <w:r>
              <w:rPr>
                <w:rFonts w:ascii="Times New Roman" w:cs="Times New Roman" w:eastAsia="Times New Roman" w:hAnsi="Times New Roman"/>
                <w:sz w:val="20"/>
                <w:szCs w:val="20"/>
                <w:color w:val="231F20"/>
              </w:rPr>
              <w:t>17,921</w:t>
            </w:r>
          </w:p>
        </w:tc>
        <w:tc>
          <w:tcPr>
            <w:tcW w:w="120" w:type="dxa"/>
            <w:vAlign w:val="bottom"/>
            <w:tcBorders>
              <w:top w:val="single" w:sz="8" w:color="E6E7E8"/>
            </w:tcBorders>
            <w:shd w:val="clear" w:color="auto" w:fill="E6E7E8"/>
          </w:tcPr>
          <w:p>
            <w:pPr>
              <w:spacing w:after="0"/>
              <w:rPr>
                <w:sz w:val="20"/>
                <w:szCs w:val="20"/>
                <w:color w:val="auto"/>
              </w:rPr>
            </w:pPr>
          </w:p>
        </w:tc>
        <w:tc>
          <w:tcPr>
            <w:tcW w:w="114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19,924</w:t>
            </w:r>
          </w:p>
        </w:tc>
        <w:tc>
          <w:tcPr>
            <w:tcW w:w="120" w:type="dxa"/>
            <w:vAlign w:val="bottom"/>
            <w:tcBorders>
              <w:top w:val="single" w:sz="8" w:color="E6E7E8"/>
            </w:tcBorders>
            <w:shd w:val="clear" w:color="auto" w:fill="E6E7E8"/>
          </w:tcPr>
          <w:p>
            <w:pPr>
              <w:spacing w:after="0"/>
              <w:rPr>
                <w:sz w:val="20"/>
                <w:szCs w:val="20"/>
                <w:color w:val="auto"/>
              </w:rPr>
            </w:pPr>
          </w:p>
        </w:tc>
        <w:tc>
          <w:tcPr>
            <w:tcW w:w="280" w:type="dxa"/>
            <w:vAlign w:val="bottom"/>
            <w:tcBorders>
              <w:top w:val="single" w:sz="8" w:color="231F20"/>
            </w:tcBorders>
            <w:shd w:val="clear" w:color="auto" w:fill="E6E7E8"/>
          </w:tcPr>
          <w:p>
            <w:pPr>
              <w:spacing w:after="0"/>
              <w:rPr>
                <w:sz w:val="20"/>
                <w:szCs w:val="20"/>
                <w:color w:val="auto"/>
              </w:rPr>
            </w:pPr>
          </w:p>
        </w:tc>
        <w:tc>
          <w:tcPr>
            <w:tcW w:w="7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17,804</w:t>
            </w:r>
          </w:p>
        </w:tc>
        <w:tc>
          <w:tcPr>
            <w:tcW w:w="80" w:type="dxa"/>
            <w:vAlign w:val="bottom"/>
            <w:tcBorders>
              <w:top w:val="single" w:sz="8" w:color="231F20"/>
            </w:tcBorders>
            <w:shd w:val="clear" w:color="auto" w:fill="E6E7E8"/>
          </w:tcPr>
          <w:p>
            <w:pPr>
              <w:spacing w:after="0"/>
              <w:rPr>
                <w:sz w:val="20"/>
                <w:szCs w:val="20"/>
                <w:color w:val="auto"/>
              </w:rPr>
            </w:pP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231F20"/>
              </w:rPr>
              <w:t>Awarded</w:t>
            </w:r>
          </w:p>
        </w:tc>
        <w:tc>
          <w:tcPr>
            <w:tcW w:w="114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231F20"/>
              </w:rPr>
              <w:t>22,140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40,130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19,924</w:t>
            </w:r>
          </w:p>
        </w:tc>
        <w:tc>
          <w:tcPr>
            <w:tcW w:w="80" w:type="dxa"/>
            <w:vAlign w:val="bottom"/>
          </w:tcPr>
          <w:p>
            <w:pPr>
              <w:spacing w:after="0"/>
              <w:rPr>
                <w:sz w:val="21"/>
                <w:szCs w:val="21"/>
                <w:color w:val="auto"/>
              </w:rPr>
            </w:pPr>
          </w:p>
        </w:tc>
      </w:tr>
      <w:tr>
        <w:trPr>
          <w:trHeight w:val="244"/>
        </w:trPr>
        <w:tc>
          <w:tcPr>
            <w:tcW w:w="49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Released</w:t>
            </w:r>
          </w:p>
        </w:tc>
        <w:tc>
          <w:tcPr>
            <w:tcW w:w="1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(17,921)</w:t>
            </w:r>
          </w:p>
        </w:tc>
        <w:tc>
          <w:tcPr>
            <w:tcW w:w="12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(34,730)</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(17,804)</w:t>
            </w:r>
          </w:p>
        </w:tc>
      </w:tr>
      <w:tr>
        <w:trPr>
          <w:trHeight w:val="244"/>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231F20"/>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498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Ending outstanding balance</w:t>
            </w:r>
          </w:p>
        </w:tc>
        <w:tc>
          <w:tcPr>
            <w:tcW w:w="1140" w:type="dxa"/>
            <w:vAlign w:val="bottom"/>
            <w:tcBorders>
              <w:top w:val="single" w:sz="8" w:color="231F20"/>
              <w:bottom w:val="single" w:sz="8" w:color="231F20"/>
            </w:tcBorders>
            <w:shd w:val="clear" w:color="auto" w:fill="E6E7E8"/>
          </w:tcPr>
          <w:p>
            <w:pPr>
              <w:jc w:val="right"/>
              <w:ind w:right="6"/>
              <w:spacing w:after="0"/>
              <w:rPr>
                <w:sz w:val="20"/>
                <w:szCs w:val="20"/>
                <w:color w:val="auto"/>
              </w:rPr>
            </w:pPr>
            <w:r>
              <w:rPr>
                <w:rFonts w:ascii="Times New Roman" w:cs="Times New Roman" w:eastAsia="Times New Roman" w:hAnsi="Times New Roman"/>
                <w:sz w:val="20"/>
                <w:szCs w:val="20"/>
                <w:color w:val="231F20"/>
              </w:rPr>
              <w:t>16,605</w:t>
            </w:r>
          </w:p>
        </w:tc>
        <w:tc>
          <w:tcPr>
            <w:tcW w:w="120" w:type="dxa"/>
            <w:vAlign w:val="bottom"/>
            <w:tcBorders>
              <w:top w:val="single" w:sz="8" w:color="E6E7E8"/>
            </w:tcBorders>
            <w:shd w:val="clear" w:color="auto" w:fill="E6E7E8"/>
          </w:tcPr>
          <w:p>
            <w:pPr>
              <w:spacing w:after="0"/>
              <w:rPr>
                <w:sz w:val="20"/>
                <w:szCs w:val="20"/>
                <w:color w:val="auto"/>
              </w:rPr>
            </w:pPr>
          </w:p>
        </w:tc>
        <w:tc>
          <w:tcPr>
            <w:tcW w:w="114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17,921</w:t>
            </w:r>
          </w:p>
        </w:tc>
        <w:tc>
          <w:tcPr>
            <w:tcW w:w="120" w:type="dxa"/>
            <w:vAlign w:val="bottom"/>
            <w:tcBorders>
              <w:top w:val="single" w:sz="8" w:color="E6E7E8"/>
            </w:tcBorders>
            <w:shd w:val="clear" w:color="auto" w:fill="E6E7E8"/>
          </w:tcPr>
          <w:p>
            <w:pPr>
              <w:spacing w:after="0"/>
              <w:rPr>
                <w:sz w:val="20"/>
                <w:szCs w:val="20"/>
                <w:color w:val="auto"/>
              </w:rPr>
            </w:pPr>
          </w:p>
        </w:tc>
        <w:tc>
          <w:tcPr>
            <w:tcW w:w="280" w:type="dxa"/>
            <w:vAlign w:val="bottom"/>
            <w:tcBorders>
              <w:top w:val="single" w:sz="8" w:color="231F20"/>
              <w:bottom w:val="single" w:sz="8" w:color="231F20"/>
            </w:tcBorders>
            <w:shd w:val="clear" w:color="auto" w:fill="E6E7E8"/>
          </w:tcPr>
          <w:p>
            <w:pPr>
              <w:spacing w:after="0"/>
              <w:rPr>
                <w:sz w:val="20"/>
                <w:szCs w:val="20"/>
                <w:color w:val="auto"/>
              </w:rPr>
            </w:pPr>
          </w:p>
        </w:tc>
        <w:tc>
          <w:tcPr>
            <w:tcW w:w="780" w:type="dxa"/>
            <w:vAlign w:val="bottom"/>
            <w:tcBorders>
              <w:top w:val="single" w:sz="8" w:color="231F20"/>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19,924</w:t>
            </w:r>
          </w:p>
        </w:tc>
        <w:tc>
          <w:tcPr>
            <w:tcW w:w="80" w:type="dxa"/>
            <w:vAlign w:val="bottom"/>
            <w:tcBorders>
              <w:top w:val="single" w:sz="8" w:color="231F20"/>
              <w:bottom w:val="single" w:sz="8" w:color="231F20"/>
            </w:tcBorders>
            <w:shd w:val="clear" w:color="auto" w:fill="E6E7E8"/>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-1000760</wp:posOffset>
            </wp:positionV>
            <wp:extent cx="23133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2313305" cy="38100"/>
                    </a:xfrm>
                    <a:prstGeom prst="rect">
                      <a:avLst/>
                    </a:prstGeom>
                    <a:noFill/>
                  </pic:spPr>
                </pic:pic>
              </a:graphicData>
            </a:graphic>
          </wp:anchor>
        </w:drawing>
      </w:r>
    </w:p>
    <w:p>
      <w:pPr>
        <w:spacing w:after="0" w:line="237"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aggregate intrinsic value of restricted stock units outstanding under the Plan at December 31, 2025 was $116,000. The total intrinsic value of restricted shares released under the Plan during 2025 totaled $243,000.</w:t>
      </w:r>
    </w:p>
    <w:p>
      <w:pPr>
        <w:spacing w:after="0" w:line="169"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Company Guide Rule 711 and provided for grants of non-qualified stock options, restricted stock awards, stock awards, performance share awards and other stock-based awards (each, an “Inducement Award”). Effective May 14, 2025, the 2024 Inducement Stock Incentive Plan was terminated,</w:t>
      </w:r>
    </w:p>
    <w:p>
      <w:pPr>
        <w:sectPr>
          <w:pgSz w:w="11880" w:h="15480" w:orient="portrait"/>
          <w:cols w:equalWidth="0" w:num="1">
            <w:col w:w="10740"/>
          </w:cols>
          <w:pgMar w:left="540" w:top="1040" w:right="600" w:bottom="0" w:gutter="0" w:footer="0" w:header="0"/>
        </w:sect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740"/>
          </w:cols>
          <w:pgMar w:left="540" w:top="1040" w:right="600" w:bottom="0" w:gutter="0" w:footer="0" w:header="0"/>
          <w:type w:val="continuous"/>
        </w:sectPr>
      </w:pPr>
    </w:p>
    <w:bookmarkStart w:id="72" w:name="page73"/>
    <w:bookmarkEnd w:id="72"/>
    <w:p>
      <w:pPr>
        <w:ind w:right="80"/>
        <w:spacing w:after="0" w:line="252" w:lineRule="auto"/>
        <w:rPr>
          <w:sz w:val="20"/>
          <w:szCs w:val="20"/>
          <w:color w:val="auto"/>
        </w:rPr>
      </w:pPr>
      <w:r>
        <w:rPr>
          <w:rFonts w:ascii="Times New Roman" w:cs="Times New Roman" w:eastAsia="Times New Roman" w:hAnsi="Times New Roman"/>
          <w:sz w:val="20"/>
          <w:szCs w:val="20"/>
          <w:color w:val="231F20"/>
        </w:rPr>
        <w:t>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In October 2018, the Board of Directors of the Company approved the Mastech Digital, Inc. 2019 Employee Stock Purchase Plan (the “Stock Purchase Plan”). The Stock Purchase Plan is intended to meet the requirements of Section 423 of the Code and had to be approved by the Company’s shareholders to be qualified. On May 15, 2019, the Company’s shareholders approved the Stock Purchase Plan. Under the Stock Purchase Plan, 600,000 shares of common stock (subject to adjustment upon certain changes in the Company’s capitalization) are available for purchase by eligible employees who become participants in the Stock Purchase Plan. The purchase price per share is 85% of the lesser of (i) the fair market value per share of common stock on the first day of the offering period, or (ii) the fair market value per share of common stock on the last day of the offering period. On February 16, 2026, the Company’s Board of Directors approved the termination of the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pacing w:after="0" w:line="225"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2025 and December 31, 2024, the Company issued 15,114 and 34,860 shares under the Stock Purchase Plan at an average share of $6.06 and $6.40, respectively. At December 31, 2025, there were 416,945 shares available for purchases under the Plan.</w:t>
      </w:r>
    </w:p>
    <w:p>
      <w:pPr>
        <w:spacing w:after="0" w:line="188"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231F20"/>
        </w:rPr>
        <w:t>The Company’s eligible full-time employees are able to contribute up to 15% of their base compensation into the employee stock purchase plan, subject to an annual limit of $ 25,000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 -back” option in the Company’s employee stock purchase plans is estimated by adding the fair value of 15% of one share of stock to the fair value of 85%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20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Stock-based compensation expense of $3.1 million, $2.2 million and $ 3.1 million was recognized in the Consolidated Statements of Operations for the years ended December 31, 2025, 2024, and 2023, respectively. The Company has recognized related tax benefits associated with its stock-based compensation arrangements for the years ended December 31, 2025, 2024, and 2023 of $780,000, $528,000 and $721,000, respectively. As of December 31, 2025, the total remaining unrecognized compensation expense related to non-vested stock options totaled $5.6 million which will be amortized over the weighted-average remaining requisite service period of 1.9 years. The total remaining unrecognized compensation expense related to restricted stock units amounted to $18,000 which will be amortized over the weighted-average remaining requisite service period of 0.1 years.</w:t>
      </w:r>
    </w:p>
    <w:p>
      <w:pPr>
        <w:spacing w:after="0" w:line="316" w:lineRule="exact"/>
        <w:rPr>
          <w:sz w:val="20"/>
          <w:szCs w:val="20"/>
          <w:color w:val="auto"/>
        </w:rPr>
      </w:pPr>
    </w:p>
    <w:p>
      <w:pPr>
        <w:ind w:left="480" w:hanging="480"/>
        <w:spacing w:after="0"/>
        <w:tabs>
          <w:tab w:leader="none" w:pos="480" w:val="left"/>
        </w:tabs>
        <w:numPr>
          <w:ilvl w:val="0"/>
          <w:numId w:val="3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Income Taxes</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components of income before income taxes as shown in the accompanying Consolidated Statement of Operations, consisted of the following for the years ended December 31, 2025, 2024 and 2023:</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center"/>
              <w:ind w:left="43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center"/>
              <w:ind w:right="245"/>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2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r>
      <w:tr>
        <w:trPr>
          <w:trHeight w:val="193"/>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jc w:val="center"/>
              <w:ind w:left="450"/>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496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Income (loss) before income taxes:</w:t>
            </w:r>
          </w:p>
        </w:tc>
        <w:tc>
          <w:tcPr>
            <w:tcW w:w="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90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78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r>
      <w:tr>
        <w:trPr>
          <w:trHeight w:val="244"/>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Domestic</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1,556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(6,222)</w:t>
            </w:r>
          </w:p>
        </w:tc>
      </w:tr>
      <w:tr>
        <w:trPr>
          <w:trHeight w:val="244"/>
        </w:trPr>
        <w:tc>
          <w:tcPr>
            <w:tcW w:w="496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20" w:type="dxa"/>
            <w:vAlign w:val="bottom"/>
            <w:shd w:val="clear" w:color="auto" w:fill="E6E7E8"/>
          </w:tcPr>
          <w:p>
            <w:pPr>
              <w:spacing w:after="0"/>
              <w:rPr>
                <w:sz w:val="21"/>
                <w:szCs w:val="21"/>
                <w:color w:val="auto"/>
              </w:rPr>
            </w:pPr>
          </w:p>
        </w:tc>
        <w:tc>
          <w:tcPr>
            <w:tcW w:w="220" w:type="dxa"/>
            <w:vAlign w:val="bottom"/>
            <w:tcBorders>
              <w:bottom w:val="single" w:sz="8" w:color="231F20"/>
            </w:tcBorders>
            <w:shd w:val="clear" w:color="auto" w:fill="E6E7E8"/>
          </w:tcPr>
          <w:p>
            <w:pPr>
              <w:spacing w:after="0"/>
              <w:rPr>
                <w:sz w:val="21"/>
                <w:szCs w:val="21"/>
                <w:color w:val="auto"/>
              </w:rPr>
            </w:pPr>
          </w:p>
        </w:tc>
        <w:tc>
          <w:tcPr>
            <w:tcW w:w="920" w:type="dxa"/>
            <w:vAlign w:val="bottom"/>
            <w:tcBorders>
              <w:bottom w:val="single" w:sz="8" w:color="231F20"/>
            </w:tcBorders>
            <w:shd w:val="clear" w:color="auto" w:fill="E6E7E8"/>
          </w:tcPr>
          <w:p>
            <w:pPr>
              <w:jc w:val="right"/>
              <w:ind w:right="10"/>
              <w:spacing w:after="0"/>
              <w:rPr>
                <w:sz w:val="20"/>
                <w:szCs w:val="20"/>
                <w:color w:val="auto"/>
              </w:rPr>
            </w:pPr>
            <w:r>
              <w:rPr>
                <w:rFonts w:ascii="Times New Roman" w:cs="Times New Roman" w:eastAsia="Times New Roman" w:hAnsi="Times New Roman"/>
                <w:sz w:val="20"/>
                <w:szCs w:val="20"/>
                <w:color w:val="231F20"/>
              </w:rPr>
              <w:t>2,636</w:t>
            </w:r>
          </w:p>
        </w:tc>
        <w:tc>
          <w:tcPr>
            <w:tcW w:w="120" w:type="dxa"/>
            <w:vAlign w:val="bottom"/>
            <w:shd w:val="clear" w:color="auto" w:fill="E6E7E8"/>
          </w:tcPr>
          <w:p>
            <w:pPr>
              <w:spacing w:after="0"/>
              <w:rPr>
                <w:sz w:val="21"/>
                <w:szCs w:val="21"/>
                <w:color w:val="auto"/>
              </w:rPr>
            </w:pPr>
          </w:p>
        </w:tc>
        <w:tc>
          <w:tcPr>
            <w:tcW w:w="240" w:type="dxa"/>
            <w:vAlign w:val="bottom"/>
            <w:tcBorders>
              <w:bottom w:val="single" w:sz="8" w:color="231F20"/>
            </w:tcBorders>
            <w:shd w:val="clear" w:color="auto" w:fill="E6E7E8"/>
          </w:tcPr>
          <w:p>
            <w:pPr>
              <w:spacing w:after="0"/>
              <w:rPr>
                <w:sz w:val="21"/>
                <w:szCs w:val="21"/>
                <w:color w:val="auto"/>
              </w:rPr>
            </w:pPr>
          </w:p>
        </w:tc>
        <w:tc>
          <w:tcPr>
            <w:tcW w:w="900" w:type="dxa"/>
            <w:vAlign w:val="bottom"/>
            <w:tcBorders>
              <w:bottom w:val="single" w:sz="8" w:color="231F20"/>
            </w:tcBorders>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2,868</w:t>
            </w:r>
          </w:p>
        </w:tc>
        <w:tc>
          <w:tcPr>
            <w:tcW w:w="120" w:type="dxa"/>
            <w:vAlign w:val="bottom"/>
            <w:shd w:val="clear" w:color="auto" w:fill="E6E7E8"/>
          </w:tcPr>
          <w:p>
            <w:pPr>
              <w:spacing w:after="0"/>
              <w:rPr>
                <w:sz w:val="21"/>
                <w:szCs w:val="21"/>
                <w:color w:val="auto"/>
              </w:rPr>
            </w:pPr>
          </w:p>
        </w:tc>
        <w:tc>
          <w:tcPr>
            <w:tcW w:w="280" w:type="dxa"/>
            <w:vAlign w:val="bottom"/>
            <w:tcBorders>
              <w:bottom w:val="single" w:sz="8" w:color="231F20"/>
            </w:tcBorders>
            <w:shd w:val="clear" w:color="auto" w:fill="E6E7E8"/>
          </w:tcPr>
          <w:p>
            <w:pPr>
              <w:spacing w:after="0"/>
              <w:rPr>
                <w:sz w:val="21"/>
                <w:szCs w:val="21"/>
                <w:color w:val="auto"/>
              </w:rPr>
            </w:pPr>
          </w:p>
        </w:tc>
        <w:tc>
          <w:tcPr>
            <w:tcW w:w="86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(2,809)</w:t>
            </w:r>
          </w:p>
        </w:tc>
      </w:tr>
      <w:tr>
        <w:trPr>
          <w:trHeight w:val="239"/>
        </w:trPr>
        <w:tc>
          <w:tcPr>
            <w:tcW w:w="49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Income (loss) before income taxes</w:t>
            </w:r>
          </w:p>
        </w:tc>
        <w:tc>
          <w:tcPr>
            <w:tcW w:w="20" w:type="dxa"/>
            <w:vAlign w:val="bottom"/>
          </w:tcPr>
          <w:p>
            <w:pPr>
              <w:spacing w:after="0"/>
              <w:rPr>
                <w:sz w:val="20"/>
                <w:szCs w:val="20"/>
                <w:color w:val="auto"/>
              </w:rPr>
            </w:pPr>
          </w:p>
        </w:tc>
        <w:tc>
          <w:tcPr>
            <w:tcW w:w="220" w:type="dxa"/>
            <w:vAlign w:val="bottom"/>
            <w:tcBorders>
              <w:bottom w:val="single" w:sz="8" w:color="231F20"/>
            </w:tcBorders>
          </w:tcPr>
          <w:p>
            <w:pPr>
              <w:jc w:val="right"/>
              <w:ind w:right="5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tcPr>
          <w:p>
            <w:pPr>
              <w:jc w:val="right"/>
              <w:ind w:right="10"/>
              <w:spacing w:after="0"/>
              <w:rPr>
                <w:sz w:val="20"/>
                <w:szCs w:val="20"/>
                <w:color w:val="auto"/>
              </w:rPr>
            </w:pPr>
            <w:r>
              <w:rPr>
                <w:rFonts w:ascii="Times New Roman" w:cs="Times New Roman" w:eastAsia="Times New Roman" w:hAnsi="Times New Roman"/>
                <w:sz w:val="20"/>
                <w:szCs w:val="20"/>
                <w:color w:val="231F20"/>
              </w:rPr>
              <w:t>1,062</w:t>
            </w:r>
          </w:p>
        </w:tc>
        <w:tc>
          <w:tcPr>
            <w:tcW w:w="120" w:type="dxa"/>
            <w:vAlign w:val="bottom"/>
          </w:tcPr>
          <w:p>
            <w:pPr>
              <w:spacing w:after="0"/>
              <w:rPr>
                <w:sz w:val="20"/>
                <w:szCs w:val="20"/>
                <w:color w:val="auto"/>
              </w:rPr>
            </w:pPr>
          </w:p>
        </w:tc>
        <w:tc>
          <w:tcPr>
            <w:tcW w:w="24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4,424</w:t>
            </w:r>
          </w:p>
        </w:tc>
        <w:tc>
          <w:tcPr>
            <w:tcW w:w="120" w:type="dxa"/>
            <w:vAlign w:val="bottom"/>
          </w:tcPr>
          <w:p>
            <w:pPr>
              <w:spacing w:after="0"/>
              <w:rPr>
                <w:sz w:val="20"/>
                <w:szCs w:val="20"/>
                <w:color w:val="auto"/>
              </w:rPr>
            </w:pPr>
          </w:p>
        </w:tc>
        <w:tc>
          <w:tcPr>
            <w:tcW w:w="28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(9,031)</w:t>
            </w:r>
          </w:p>
        </w:tc>
      </w:tr>
      <w:tr>
        <w:trPr>
          <w:trHeight w:val="20"/>
        </w:trPr>
        <w:tc>
          <w:tcPr>
            <w:tcW w:w="49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-942340</wp:posOffset>
            </wp:positionV>
            <wp:extent cx="231521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2315210" cy="38100"/>
                    </a:xfrm>
                    <a:prstGeom prst="rect">
                      <a:avLst/>
                    </a:prstGeom>
                    <a:noFill/>
                  </pic:spPr>
                </pic:pic>
              </a:graphicData>
            </a:graphic>
          </wp:anchor>
        </w:drawing>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780"/>
          </w:cols>
          <w:pgMar w:left="540" w:top="750" w:right="560" w:bottom="0" w:gutter="0" w:footer="0" w:header="0"/>
          <w:type w:val="continuous"/>
        </w:sectPr>
      </w:pPr>
    </w:p>
    <w:bookmarkStart w:id="73" w:name="page74"/>
    <w:bookmarkEnd w:id="73"/>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The provision (benefit) for income taxes, as shown in the accompanying Consolidated Statement of Operations, consisted of the following for the years ended December 31, 2025, 2024 and 2023:</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center"/>
              <w:ind w:left="445"/>
              <w:spacing w:after="0"/>
              <w:rPr>
                <w:sz w:val="20"/>
                <w:szCs w:val="20"/>
                <w:color w:val="auto"/>
              </w:rPr>
            </w:pPr>
            <w:r>
              <w:rPr>
                <w:rFonts w:ascii="Times New Roman" w:cs="Times New Roman" w:eastAsia="Times New Roman" w:hAnsi="Times New Roman"/>
                <w:sz w:val="16"/>
                <w:szCs w:val="16"/>
                <w:b w:val="1"/>
                <w:bCs w:val="1"/>
                <w:color w:val="231F20"/>
                <w:w w:val="99"/>
              </w:rPr>
              <w:t>Years Ended December 31,</w:t>
            </w:r>
          </w:p>
        </w:tc>
        <w:tc>
          <w:tcPr>
            <w:tcW w:w="78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498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center"/>
              <w:ind w:right="222"/>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20" w:type="dxa"/>
            <w:vAlign w:val="bottom"/>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r>
      <w:tr>
        <w:trPr>
          <w:trHeight w:val="193"/>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jc w:val="center"/>
              <w:ind w:left="445"/>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4"/>
        </w:trPr>
        <w:tc>
          <w:tcPr>
            <w:tcW w:w="49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Current provision (benefit):</w:t>
            </w: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780" w:type="dxa"/>
            <w:vAlign w:val="bottom"/>
            <w:shd w:val="clear" w:color="auto" w:fill="E6E7E8"/>
          </w:tcPr>
          <w:p>
            <w:pPr>
              <w:spacing w:after="0"/>
              <w:rPr>
                <w:sz w:val="21"/>
                <w:szCs w:val="21"/>
                <w:color w:val="auto"/>
              </w:rPr>
            </w:pPr>
          </w:p>
        </w:tc>
        <w:tc>
          <w:tcPr>
            <w:tcW w:w="80" w:type="dxa"/>
            <w:vAlign w:val="bottom"/>
            <w:shd w:val="clear" w:color="auto" w:fill="E6E7E8"/>
          </w:tcPr>
          <w:p>
            <w:pPr>
              <w:spacing w:after="0"/>
              <w:rPr>
                <w:sz w:val="21"/>
                <w:szCs w:val="21"/>
                <w:color w:val="auto"/>
              </w:rPr>
            </w:pPr>
          </w:p>
        </w:tc>
      </w:tr>
      <w:tr>
        <w:trPr>
          <w:trHeight w:val="244"/>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Federal</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506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672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(473)</w:t>
            </w:r>
          </w:p>
        </w:tc>
      </w:tr>
      <w:tr>
        <w:trPr>
          <w:trHeight w:val="244"/>
        </w:trPr>
        <w:tc>
          <w:tcPr>
            <w:tcW w:w="49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180</w:t>
            </w:r>
          </w:p>
        </w:tc>
        <w:tc>
          <w:tcPr>
            <w:tcW w:w="1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93</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(23)</w:t>
            </w:r>
          </w:p>
        </w:tc>
      </w:tr>
      <w:tr>
        <w:trPr>
          <w:trHeight w:val="244"/>
        </w:trPr>
        <w:tc>
          <w:tcPr>
            <w:tcW w:w="498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2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1,036</w:t>
            </w:r>
          </w:p>
        </w:tc>
        <w:tc>
          <w:tcPr>
            <w:tcW w:w="120" w:type="dxa"/>
            <w:vAlign w:val="bottom"/>
            <w:tcBorders>
              <w:bottom w:val="single" w:sz="8" w:color="E6E7E8"/>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762</w:t>
            </w:r>
          </w:p>
        </w:tc>
        <w:tc>
          <w:tcPr>
            <w:tcW w:w="120" w:type="dxa"/>
            <w:vAlign w:val="bottom"/>
            <w:tcBorders>
              <w:bottom w:val="single" w:sz="8" w:color="E6E7E8"/>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316</w:t>
            </w:r>
          </w:p>
        </w:tc>
        <w:tc>
          <w:tcPr>
            <w:tcW w:w="80" w:type="dxa"/>
            <w:vAlign w:val="bottom"/>
            <w:tcBorders>
              <w:bottom w:val="single" w:sz="8" w:color="231F20"/>
            </w:tcBorders>
          </w:tcPr>
          <w:p>
            <w:pPr>
              <w:spacing w:after="0"/>
              <w:rPr>
                <w:sz w:val="21"/>
                <w:szCs w:val="21"/>
                <w:color w:val="auto"/>
              </w:rPr>
            </w:pPr>
          </w:p>
        </w:tc>
      </w:tr>
      <w:tr>
        <w:trPr>
          <w:trHeight w:val="259"/>
        </w:trPr>
        <w:tc>
          <w:tcPr>
            <w:tcW w:w="4980" w:type="dxa"/>
            <w:vAlign w:val="bottom"/>
            <w:tcBorders>
              <w:bottom w:val="single" w:sz="8" w:color="E6E7E8"/>
            </w:tcBorders>
            <w:shd w:val="clear" w:color="auto" w:fill="E6E7E8"/>
          </w:tcPr>
          <w:p>
            <w:pPr>
              <w:ind w:left="400"/>
              <w:spacing w:after="0"/>
              <w:rPr>
                <w:sz w:val="20"/>
                <w:szCs w:val="20"/>
                <w:color w:val="auto"/>
              </w:rPr>
            </w:pPr>
            <w:r>
              <w:rPr>
                <w:rFonts w:ascii="Times New Roman" w:cs="Times New Roman" w:eastAsia="Times New Roman" w:hAnsi="Times New Roman"/>
                <w:sz w:val="20"/>
                <w:szCs w:val="20"/>
                <w:color w:val="231F20"/>
              </w:rPr>
              <w:t>Total current provision (benefit)</w:t>
            </w:r>
          </w:p>
        </w:tc>
        <w:tc>
          <w:tcPr>
            <w:tcW w:w="220" w:type="dxa"/>
            <w:vAlign w:val="bottom"/>
            <w:tcBorders>
              <w:bottom w:val="single" w:sz="8" w:color="E6E7E8"/>
            </w:tcBorders>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1,722</w:t>
            </w:r>
          </w:p>
        </w:tc>
        <w:tc>
          <w:tcPr>
            <w:tcW w:w="120" w:type="dxa"/>
            <w:vAlign w:val="bottom"/>
            <w:tcBorders>
              <w:bottom w:val="single" w:sz="8" w:color="E6E7E8"/>
            </w:tcBorders>
            <w:shd w:val="clear" w:color="auto" w:fill="E6E7E8"/>
          </w:tcPr>
          <w:p>
            <w:pPr>
              <w:spacing w:after="0"/>
              <w:rPr>
                <w:sz w:val="22"/>
                <w:szCs w:val="22"/>
                <w:color w:val="auto"/>
              </w:rPr>
            </w:pPr>
          </w:p>
        </w:tc>
        <w:tc>
          <w:tcPr>
            <w:tcW w:w="220" w:type="dxa"/>
            <w:vAlign w:val="bottom"/>
            <w:tcBorders>
              <w:bottom w:val="single" w:sz="8" w:color="E6E7E8"/>
            </w:tcBorders>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1,527</w:t>
            </w:r>
          </w:p>
        </w:tc>
        <w:tc>
          <w:tcPr>
            <w:tcW w:w="12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86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(180)</w:t>
            </w:r>
          </w:p>
        </w:tc>
      </w:tr>
      <w:tr>
        <w:trPr>
          <w:trHeight w:val="219"/>
        </w:trPr>
        <w:tc>
          <w:tcPr>
            <w:tcW w:w="4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Deferred provision (benefit):</w:t>
            </w:r>
          </w:p>
        </w:tc>
        <w:tc>
          <w:tcPr>
            <w:tcW w:w="220" w:type="dxa"/>
            <w:vAlign w:val="bottom"/>
            <w:tcBorders>
              <w:top w:val="single" w:sz="8" w:color="231F20"/>
            </w:tcBorders>
          </w:tcPr>
          <w:p>
            <w:pPr>
              <w:spacing w:after="0"/>
              <w:rPr>
                <w:sz w:val="19"/>
                <w:szCs w:val="19"/>
                <w:color w:val="auto"/>
              </w:rPr>
            </w:pPr>
          </w:p>
        </w:tc>
        <w:tc>
          <w:tcPr>
            <w:tcW w:w="92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231F20"/>
            </w:tcBorders>
          </w:tcPr>
          <w:p>
            <w:pPr>
              <w:spacing w:after="0"/>
              <w:rPr>
                <w:sz w:val="19"/>
                <w:szCs w:val="19"/>
                <w:color w:val="auto"/>
              </w:rPr>
            </w:pPr>
          </w:p>
        </w:tc>
        <w:tc>
          <w:tcPr>
            <w:tcW w:w="920" w:type="dxa"/>
            <w:vAlign w:val="bottom"/>
            <w:tcBorders>
              <w:top w:val="single" w:sz="8" w:color="231F20"/>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780" w:type="dxa"/>
            <w:vAlign w:val="bottom"/>
            <w:tcBorders>
              <w:top w:val="single" w:sz="8" w:color="231F20"/>
            </w:tcBorders>
          </w:tcPr>
          <w:p>
            <w:pPr>
              <w:spacing w:after="0"/>
              <w:rPr>
                <w:sz w:val="19"/>
                <w:szCs w:val="19"/>
                <w:color w:val="auto"/>
              </w:rPr>
            </w:pPr>
          </w:p>
        </w:tc>
        <w:tc>
          <w:tcPr>
            <w:tcW w:w="80" w:type="dxa"/>
            <w:vAlign w:val="bottom"/>
            <w:tcBorders>
              <w:top w:val="single" w:sz="8" w:color="231F20"/>
            </w:tcBorders>
          </w:tcPr>
          <w:p>
            <w:pPr>
              <w:spacing w:after="0"/>
              <w:rPr>
                <w:sz w:val="19"/>
                <w:szCs w:val="19"/>
                <w:color w:val="auto"/>
              </w:rPr>
            </w:pPr>
          </w:p>
        </w:tc>
      </w:tr>
      <w:tr>
        <w:trPr>
          <w:trHeight w:val="244"/>
        </w:trPr>
        <w:tc>
          <w:tcPr>
            <w:tcW w:w="49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Federal</w:t>
            </w: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(609)</w:t>
            </w:r>
          </w:p>
        </w:tc>
        <w:tc>
          <w:tcPr>
            <w:tcW w:w="12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9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(445)</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86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(648)</w:t>
            </w:r>
          </w:p>
        </w:tc>
      </w:tr>
      <w:tr>
        <w:trPr>
          <w:trHeight w:val="244"/>
        </w:trPr>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(133)</w:t>
            </w:r>
          </w:p>
        </w:tc>
      </w:tr>
      <w:tr>
        <w:trPr>
          <w:trHeight w:val="264"/>
        </w:trPr>
        <w:tc>
          <w:tcPr>
            <w:tcW w:w="498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220" w:type="dxa"/>
            <w:vAlign w:val="bottom"/>
            <w:tcBorders>
              <w:bottom w:val="single" w:sz="8" w:color="E6E7E8"/>
            </w:tcBorders>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(535)</w:t>
            </w:r>
          </w:p>
        </w:tc>
        <w:tc>
          <w:tcPr>
            <w:tcW w:w="120" w:type="dxa"/>
            <w:vAlign w:val="bottom"/>
            <w:tcBorders>
              <w:bottom w:val="single" w:sz="8" w:color="E6E7E8"/>
            </w:tcBorders>
            <w:shd w:val="clear" w:color="auto" w:fill="E6E7E8"/>
          </w:tcPr>
          <w:p>
            <w:pPr>
              <w:spacing w:after="0"/>
              <w:rPr>
                <w:sz w:val="22"/>
                <w:szCs w:val="22"/>
                <w:color w:val="auto"/>
              </w:rPr>
            </w:pPr>
          </w:p>
        </w:tc>
        <w:tc>
          <w:tcPr>
            <w:tcW w:w="220" w:type="dxa"/>
            <w:vAlign w:val="bottom"/>
            <w:tcBorders>
              <w:bottom w:val="single" w:sz="8" w:color="E6E7E8"/>
            </w:tcBorders>
            <w:shd w:val="clear" w:color="auto" w:fill="E6E7E8"/>
          </w:tcPr>
          <w:p>
            <w:pPr>
              <w:spacing w:after="0"/>
              <w:rPr>
                <w:sz w:val="22"/>
                <w:szCs w:val="22"/>
                <w:color w:val="auto"/>
              </w:rPr>
            </w:pPr>
          </w:p>
        </w:tc>
        <w:tc>
          <w:tcPr>
            <w:tcW w:w="920" w:type="dxa"/>
            <w:vAlign w:val="bottom"/>
            <w:tcBorders>
              <w:bottom w:val="single" w:sz="8" w:color="E6E7E8"/>
            </w:tcBorders>
            <w:shd w:val="clear" w:color="auto" w:fill="E6E7E8"/>
          </w:tcPr>
          <w:p>
            <w:pPr>
              <w:jc w:val="right"/>
              <w:ind w:right="2"/>
              <w:spacing w:after="0"/>
              <w:rPr>
                <w:sz w:val="20"/>
                <w:szCs w:val="20"/>
                <w:color w:val="auto"/>
              </w:rPr>
            </w:pPr>
            <w:r>
              <w:rPr>
                <w:rFonts w:ascii="Times New Roman" w:cs="Times New Roman" w:eastAsia="Times New Roman" w:hAnsi="Times New Roman"/>
                <w:sz w:val="20"/>
                <w:szCs w:val="20"/>
                <w:color w:val="231F20"/>
              </w:rPr>
              <w:t>6</w:t>
            </w:r>
          </w:p>
        </w:tc>
        <w:tc>
          <w:tcPr>
            <w:tcW w:w="12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86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(1,001)</w:t>
            </w:r>
          </w:p>
        </w:tc>
      </w:tr>
      <w:tr>
        <w:trPr>
          <w:trHeight w:val="219"/>
        </w:trPr>
        <w:tc>
          <w:tcPr>
            <w:tcW w:w="498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deferred provision (benefit)</w:t>
            </w:r>
          </w:p>
        </w:tc>
        <w:tc>
          <w:tcPr>
            <w:tcW w:w="220" w:type="dxa"/>
            <w:vAlign w:val="bottom"/>
            <w:tcBorders>
              <w:top w:val="single" w:sz="8" w:color="231F20"/>
              <w:bottom w:val="single" w:sz="8" w:color="231F20"/>
            </w:tcBorders>
          </w:tcPr>
          <w:p>
            <w:pPr>
              <w:spacing w:after="0"/>
              <w:rPr>
                <w:sz w:val="19"/>
                <w:szCs w:val="19"/>
                <w:color w:val="auto"/>
              </w:rPr>
            </w:pPr>
          </w:p>
        </w:tc>
        <w:tc>
          <w:tcPr>
            <w:tcW w:w="9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(1,252)</w:t>
            </w:r>
          </w:p>
        </w:tc>
        <w:tc>
          <w:tcPr>
            <w:tcW w:w="120" w:type="dxa"/>
            <w:vAlign w:val="bottom"/>
            <w:tcBorders>
              <w:bottom w:val="single" w:sz="8" w:color="E6E7E8"/>
            </w:tcBorders>
          </w:tcPr>
          <w:p>
            <w:pPr>
              <w:spacing w:after="0"/>
              <w:rPr>
                <w:sz w:val="19"/>
                <w:szCs w:val="19"/>
                <w:color w:val="auto"/>
              </w:rPr>
            </w:pPr>
          </w:p>
        </w:tc>
        <w:tc>
          <w:tcPr>
            <w:tcW w:w="220" w:type="dxa"/>
            <w:vAlign w:val="bottom"/>
            <w:tcBorders>
              <w:top w:val="single" w:sz="8" w:color="231F20"/>
              <w:bottom w:val="single" w:sz="8" w:color="231F20"/>
            </w:tcBorders>
          </w:tcPr>
          <w:p>
            <w:pPr>
              <w:spacing w:after="0"/>
              <w:rPr>
                <w:sz w:val="19"/>
                <w:szCs w:val="19"/>
                <w:color w:val="auto"/>
              </w:rPr>
            </w:pPr>
          </w:p>
        </w:tc>
        <w:tc>
          <w:tcPr>
            <w:tcW w:w="9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(491)</w:t>
            </w:r>
          </w:p>
        </w:tc>
        <w:tc>
          <w:tcPr>
            <w:tcW w:w="120" w:type="dxa"/>
            <w:vAlign w:val="bottom"/>
            <w:tcBorders>
              <w:bottom w:val="single" w:sz="8" w:color="E6E7E8"/>
            </w:tcBorders>
          </w:tcPr>
          <w:p>
            <w:pPr>
              <w:spacing w:after="0"/>
              <w:rPr>
                <w:sz w:val="19"/>
                <w:szCs w:val="19"/>
                <w:color w:val="auto"/>
              </w:rPr>
            </w:pPr>
          </w:p>
        </w:tc>
        <w:tc>
          <w:tcPr>
            <w:tcW w:w="280" w:type="dxa"/>
            <w:vAlign w:val="bottom"/>
            <w:tcBorders>
              <w:top w:val="single" w:sz="8" w:color="231F20"/>
              <w:bottom w:val="single" w:sz="8" w:color="231F20"/>
            </w:tcBorders>
          </w:tcPr>
          <w:p>
            <w:pPr>
              <w:spacing w:after="0"/>
              <w:rPr>
                <w:sz w:val="19"/>
                <w:szCs w:val="19"/>
                <w:color w:val="auto"/>
              </w:rPr>
            </w:pPr>
          </w:p>
        </w:tc>
        <w:tc>
          <w:tcPr>
            <w:tcW w:w="860" w:type="dxa"/>
            <w:vAlign w:val="bottom"/>
            <w:tcBorders>
              <w:top w:val="single" w:sz="8" w:color="231F20"/>
              <w:bottom w:val="single" w:sz="8" w:color="231F20"/>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(1,782)</w:t>
            </w:r>
          </w:p>
        </w:tc>
      </w:tr>
      <w:tr>
        <w:trPr>
          <w:trHeight w:val="259"/>
        </w:trPr>
        <w:tc>
          <w:tcPr>
            <w:tcW w:w="49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220" w:type="dxa"/>
            <w:vAlign w:val="bottom"/>
            <w:tcBorders>
              <w:bottom w:val="single" w:sz="8" w:color="231F20"/>
            </w:tcBorders>
            <w:shd w:val="clear" w:color="auto" w:fill="E6E7E8"/>
          </w:tcPr>
          <w:p>
            <w:pPr>
              <w:spacing w:after="0"/>
              <w:rPr>
                <w:sz w:val="22"/>
                <w:szCs w:val="22"/>
                <w:color w:val="auto"/>
              </w:rPr>
            </w:pPr>
          </w:p>
        </w:tc>
        <w:tc>
          <w:tcPr>
            <w:tcW w:w="9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20" w:type="dxa"/>
            <w:vAlign w:val="bottom"/>
            <w:tcBorders>
              <w:bottom w:val="single" w:sz="8" w:color="E6E7E8"/>
            </w:tcBorders>
            <w:shd w:val="clear" w:color="auto" w:fill="E6E7E8"/>
          </w:tcPr>
          <w:p>
            <w:pPr>
              <w:spacing w:after="0"/>
              <w:rPr>
                <w:sz w:val="22"/>
                <w:szCs w:val="22"/>
                <w:color w:val="auto"/>
              </w:rPr>
            </w:pPr>
          </w:p>
        </w:tc>
        <w:tc>
          <w:tcPr>
            <w:tcW w:w="220" w:type="dxa"/>
            <w:vAlign w:val="bottom"/>
            <w:tcBorders>
              <w:bottom w:val="single" w:sz="8" w:color="231F20"/>
            </w:tcBorders>
            <w:shd w:val="clear" w:color="auto" w:fill="E6E7E8"/>
          </w:tcPr>
          <w:p>
            <w:pPr>
              <w:spacing w:after="0"/>
              <w:rPr>
                <w:sz w:val="22"/>
                <w:szCs w:val="22"/>
                <w:color w:val="auto"/>
              </w:rPr>
            </w:pPr>
          </w:p>
        </w:tc>
        <w:tc>
          <w:tcPr>
            <w:tcW w:w="9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20" w:type="dxa"/>
            <w:vAlign w:val="bottom"/>
            <w:tcBorders>
              <w:bottom w:val="single" w:sz="8" w:color="E6E7E8"/>
            </w:tcBorders>
            <w:shd w:val="clear" w:color="auto" w:fill="E6E7E8"/>
          </w:tcPr>
          <w:p>
            <w:pPr>
              <w:spacing w:after="0"/>
              <w:rPr>
                <w:sz w:val="22"/>
                <w:szCs w:val="22"/>
                <w:color w:val="auto"/>
              </w:rPr>
            </w:pPr>
          </w:p>
        </w:tc>
        <w:tc>
          <w:tcPr>
            <w:tcW w:w="280" w:type="dxa"/>
            <w:vAlign w:val="bottom"/>
            <w:tcBorders>
              <w:bottom w:val="single" w:sz="8" w:color="231F20"/>
            </w:tcBorders>
            <w:shd w:val="clear" w:color="auto" w:fill="E6E7E8"/>
          </w:tcPr>
          <w:p>
            <w:pPr>
              <w:spacing w:after="0"/>
              <w:rPr>
                <w:sz w:val="22"/>
                <w:szCs w:val="22"/>
                <w:color w:val="auto"/>
              </w:rPr>
            </w:pPr>
          </w:p>
        </w:tc>
        <w:tc>
          <w:tcPr>
            <w:tcW w:w="7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80" w:type="dxa"/>
            <w:vAlign w:val="bottom"/>
            <w:tcBorders>
              <w:bottom w:val="single" w:sz="8" w:color="231F20"/>
            </w:tcBorders>
            <w:shd w:val="clear" w:color="auto" w:fill="E6E7E8"/>
          </w:tcPr>
          <w:p>
            <w:pPr>
              <w:spacing w:after="0"/>
              <w:rPr>
                <w:sz w:val="22"/>
                <w:szCs w:val="22"/>
                <w:color w:val="auto"/>
              </w:rPr>
            </w:pPr>
          </w:p>
        </w:tc>
      </w:tr>
      <w:tr>
        <w:trPr>
          <w:trHeight w:val="219"/>
        </w:trPr>
        <w:tc>
          <w:tcPr>
            <w:tcW w:w="49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provision (benefit) for income taxes</w:t>
            </w:r>
          </w:p>
        </w:tc>
        <w:tc>
          <w:tcPr>
            <w:tcW w:w="220" w:type="dxa"/>
            <w:vAlign w:val="bottom"/>
            <w:tcBorders>
              <w:bottom w:val="single" w:sz="8" w:color="231F20"/>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jc w:val="right"/>
              <w:ind w:right="5"/>
              <w:spacing w:after="0" w:line="219" w:lineRule="exact"/>
              <w:rPr>
                <w:sz w:val="20"/>
                <w:szCs w:val="20"/>
                <w:color w:val="auto"/>
              </w:rPr>
            </w:pPr>
            <w:r>
              <w:rPr>
                <w:rFonts w:ascii="Times New Roman" w:cs="Times New Roman" w:eastAsia="Times New Roman" w:hAnsi="Times New Roman"/>
                <w:sz w:val="20"/>
                <w:szCs w:val="20"/>
                <w:color w:val="231F20"/>
              </w:rPr>
              <w:t>453</w:t>
            </w:r>
          </w:p>
        </w:tc>
        <w:tc>
          <w:tcPr>
            <w:tcW w:w="120" w:type="dxa"/>
            <w:vAlign w:val="bottom"/>
          </w:tcPr>
          <w:p>
            <w:pPr>
              <w:spacing w:after="0"/>
              <w:rPr>
                <w:sz w:val="19"/>
                <w:szCs w:val="19"/>
                <w:color w:val="auto"/>
              </w:rPr>
            </w:pPr>
          </w:p>
        </w:tc>
        <w:tc>
          <w:tcPr>
            <w:tcW w:w="220" w:type="dxa"/>
            <w:vAlign w:val="bottom"/>
            <w:tcBorders>
              <w:bottom w:val="single" w:sz="8" w:color="231F20"/>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jc w:val="right"/>
              <w:ind w:right="2"/>
              <w:spacing w:after="0" w:line="219" w:lineRule="exact"/>
              <w:rPr>
                <w:sz w:val="20"/>
                <w:szCs w:val="20"/>
                <w:color w:val="auto"/>
              </w:rPr>
            </w:pPr>
            <w:r>
              <w:rPr>
                <w:rFonts w:ascii="Times New Roman" w:cs="Times New Roman" w:eastAsia="Times New Roman" w:hAnsi="Times New Roman"/>
                <w:sz w:val="20"/>
                <w:szCs w:val="20"/>
                <w:color w:val="231F20"/>
              </w:rPr>
              <w:t>1,022</w:t>
            </w:r>
          </w:p>
        </w:tc>
        <w:tc>
          <w:tcPr>
            <w:tcW w:w="120" w:type="dxa"/>
            <w:vAlign w:val="bottom"/>
          </w:tcPr>
          <w:p>
            <w:pPr>
              <w:spacing w:after="0"/>
              <w:rPr>
                <w:sz w:val="19"/>
                <w:szCs w:val="19"/>
                <w:color w:val="auto"/>
              </w:rPr>
            </w:pPr>
          </w:p>
        </w:tc>
        <w:tc>
          <w:tcPr>
            <w:tcW w:w="280" w:type="dxa"/>
            <w:vAlign w:val="bottom"/>
            <w:tcBorders>
              <w:bottom w:val="single" w:sz="8" w:color="231F20"/>
            </w:tcBorders>
          </w:tcPr>
          <w:p>
            <w:pPr>
              <w:jc w:val="right"/>
              <w:ind w:right="8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bottom w:val="single" w:sz="8" w:color="231F20"/>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(1,893)</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-2219325</wp:posOffset>
            </wp:positionV>
            <wp:extent cx="230949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2309495" cy="38100"/>
                    </a:xfrm>
                    <a:prstGeom prst="rect">
                      <a:avLst/>
                    </a:prstGeom>
                    <a:noFill/>
                  </pic:spPr>
                </pic:pic>
              </a:graphicData>
            </a:graphic>
          </wp:anchor>
        </w:drawing>
      </w:r>
    </w:p>
    <w:p>
      <w:pPr>
        <w:spacing w:after="0" w:line="237"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The reconciliation of income taxes computed using our statutory U.S. income tax rate and the provision (benefit) for income taxes for the years ended December 31, 2025, 2024 and 2023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gridSpan w:val="8"/>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00" w:type="dxa"/>
            <w:vAlign w:val="bottom"/>
            <w:tcBorders>
              <w:bottom w:val="single" w:sz="8" w:color="231F20"/>
            </w:tcBorders>
            <w:gridSpan w:val="2"/>
            <w:vMerge w:val="continue"/>
          </w:tcPr>
          <w:p>
            <w:pPr>
              <w:spacing w:after="0"/>
              <w:rPr>
                <w:sz w:val="20"/>
                <w:szCs w:val="20"/>
                <w:color w:val="auto"/>
              </w:rPr>
            </w:pPr>
          </w:p>
        </w:tc>
        <w:tc>
          <w:tcPr>
            <w:tcW w:w="100" w:type="dxa"/>
            <w:vAlign w:val="bottom"/>
            <w:tcBorders>
              <w:bottom w:val="single" w:sz="8" w:color="E6E7E8"/>
            </w:tcBorders>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20" w:type="dxa"/>
            <w:vAlign w:val="bottom"/>
          </w:tcPr>
          <w:p>
            <w:pPr>
              <w:spacing w:after="0"/>
              <w:rPr>
                <w:sz w:val="20"/>
                <w:szCs w:val="20"/>
                <w:color w:val="auto"/>
              </w:rPr>
            </w:pPr>
          </w:p>
        </w:tc>
        <w:tc>
          <w:tcPr>
            <w:tcW w:w="100" w:type="dxa"/>
            <w:vAlign w:val="bottom"/>
            <w:tcBorders>
              <w:bottom w:val="single" w:sz="8" w:color="E6E7E8"/>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E6E7E8"/>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700" w:type="dxa"/>
            <w:vAlign w:val="bottom"/>
            <w:tcBorders>
              <w:bottom w:val="single" w:sz="8" w:color="231F20"/>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Income taxes computed at the federal statutory rate</w:t>
            </w:r>
          </w:p>
        </w:tc>
        <w:tc>
          <w:tcPr>
            <w:tcW w:w="100" w:type="dxa"/>
            <w:vAlign w:val="bottom"/>
            <w:shd w:val="clear" w:color="auto" w:fill="E6E7E8"/>
          </w:tcPr>
          <w:p>
            <w:pPr>
              <w:spacing w:after="0"/>
              <w:rPr>
                <w:sz w:val="20"/>
                <w:szCs w:val="20"/>
                <w:color w:val="auto"/>
              </w:rPr>
            </w:pPr>
          </w:p>
        </w:tc>
        <w:tc>
          <w:tcPr>
            <w:tcW w:w="420" w:type="dxa"/>
            <w:vAlign w:val="bottom"/>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223</w:t>
            </w: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100" w:type="dxa"/>
            <w:vAlign w:val="bottom"/>
            <w:shd w:val="clear" w:color="auto" w:fill="E6E7E8"/>
          </w:tcPr>
          <w:p>
            <w:pPr>
              <w:spacing w:after="0"/>
              <w:rPr>
                <w:sz w:val="20"/>
                <w:szCs w:val="20"/>
                <w:color w:val="auto"/>
              </w:rPr>
            </w:pPr>
          </w:p>
        </w:tc>
        <w:tc>
          <w:tcPr>
            <w:tcW w:w="1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80" w:type="dxa"/>
            <w:vAlign w:val="bottom"/>
            <w:shd w:val="clear" w:color="auto" w:fill="E6E7E8"/>
          </w:tcPr>
          <w:p>
            <w:pPr>
              <w:spacing w:after="0"/>
              <w:rPr>
                <w:sz w:val="20"/>
                <w:szCs w:val="20"/>
                <w:color w:val="auto"/>
              </w:rPr>
            </w:pPr>
          </w:p>
        </w:tc>
        <w:tc>
          <w:tcPr>
            <w:tcW w:w="640" w:type="dxa"/>
            <w:vAlign w:val="bottom"/>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929</w:t>
            </w:r>
          </w:p>
        </w:tc>
        <w:tc>
          <w:tcPr>
            <w:tcW w:w="120" w:type="dxa"/>
            <w:vAlign w:val="bottom"/>
            <w:shd w:val="clear" w:color="auto" w:fill="E6E7E8"/>
          </w:tcPr>
          <w:p>
            <w:pPr>
              <w:spacing w:after="0"/>
              <w:rPr>
                <w:sz w:val="20"/>
                <w:szCs w:val="20"/>
                <w:color w:val="auto"/>
              </w:rPr>
            </w:pPr>
          </w:p>
        </w:tc>
        <w:tc>
          <w:tcPr>
            <w:tcW w:w="240" w:type="dxa"/>
            <w:vAlign w:val="bottom"/>
            <w:shd w:val="clear" w:color="auto" w:fill="E6E7E8"/>
          </w:tcPr>
          <w:p>
            <w:pPr>
              <w:spacing w:after="0"/>
              <w:rPr>
                <w:sz w:val="20"/>
                <w:szCs w:val="20"/>
                <w:color w:val="auto"/>
              </w:rPr>
            </w:pPr>
          </w:p>
        </w:tc>
        <w:tc>
          <w:tcPr>
            <w:tcW w:w="74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100" w:type="dxa"/>
            <w:vAlign w:val="bottom"/>
            <w:shd w:val="clear" w:color="auto" w:fill="E6E7E8"/>
          </w:tcPr>
          <w:p>
            <w:pPr>
              <w:spacing w:after="0"/>
              <w:rPr>
                <w:sz w:val="20"/>
                <w:szCs w:val="20"/>
                <w:color w:val="auto"/>
              </w:rPr>
            </w:pPr>
          </w:p>
        </w:tc>
        <w:tc>
          <w:tcPr>
            <w:tcW w:w="22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(1,897)</w:t>
            </w:r>
          </w:p>
        </w:tc>
        <w:tc>
          <w:tcPr>
            <w:tcW w:w="100" w:type="dxa"/>
            <w:vAlign w:val="bottom"/>
            <w:shd w:val="clear" w:color="auto" w:fill="E6E7E8"/>
          </w:tcPr>
          <w:p>
            <w:pPr>
              <w:spacing w:after="0"/>
              <w:rPr>
                <w:sz w:val="20"/>
                <w:szCs w:val="20"/>
                <w:color w:val="auto"/>
              </w:rPr>
            </w:pPr>
          </w:p>
        </w:tc>
        <w:tc>
          <w:tcPr>
            <w:tcW w:w="1000" w:type="dxa"/>
            <w:vAlign w:val="bottom"/>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4"/>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State income taxes, net of federal tax benefit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231F20"/>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24"/>
        </w:trPr>
        <w:tc>
          <w:tcPr>
            <w:tcW w:w="4300" w:type="dxa"/>
            <w:vAlign w:val="bottom"/>
            <w:gridSpan w:val="2"/>
            <w:shd w:val="clear" w:color="auto" w:fill="E6E7E8"/>
          </w:tcPr>
          <w:p>
            <w:pPr>
              <w:spacing w:after="0" w:line="225" w:lineRule="exact"/>
              <w:rPr>
                <w:sz w:val="20"/>
                <w:szCs w:val="20"/>
                <w:color w:val="auto"/>
              </w:rPr>
            </w:pPr>
            <w:r>
              <w:rPr>
                <w:rFonts w:ascii="Times New Roman" w:cs="Times New Roman" w:eastAsia="Times New Roman" w:hAnsi="Times New Roman"/>
                <w:sz w:val="20"/>
                <w:szCs w:val="20"/>
                <w:color w:val="231F20"/>
              </w:rPr>
              <w:t>Shortfalls in expected tax benefits from stock</w:t>
            </w:r>
          </w:p>
        </w:tc>
        <w:tc>
          <w:tcPr>
            <w:tcW w:w="100" w:type="dxa"/>
            <w:vAlign w:val="bottom"/>
            <w:shd w:val="clear" w:color="auto" w:fill="E6E7E8"/>
          </w:tcPr>
          <w:p>
            <w:pPr>
              <w:spacing w:after="0"/>
              <w:rPr>
                <w:sz w:val="19"/>
                <w:szCs w:val="19"/>
                <w:color w:val="auto"/>
              </w:rPr>
            </w:pPr>
          </w:p>
        </w:tc>
        <w:tc>
          <w:tcPr>
            <w:tcW w:w="420" w:type="dxa"/>
            <w:vAlign w:val="bottom"/>
            <w:shd w:val="clear" w:color="auto" w:fill="E6E7E8"/>
          </w:tcPr>
          <w:p>
            <w:pPr>
              <w:spacing w:after="0"/>
              <w:rPr>
                <w:sz w:val="19"/>
                <w:szCs w:val="19"/>
                <w:color w:val="auto"/>
              </w:rPr>
            </w:pPr>
          </w:p>
        </w:tc>
        <w:tc>
          <w:tcPr>
            <w:tcW w:w="54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8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140" w:type="dxa"/>
            <w:vAlign w:val="bottom"/>
            <w:shd w:val="clear" w:color="auto" w:fill="E6E7E8"/>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64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6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220" w:type="dxa"/>
            <w:vAlign w:val="bottom"/>
            <w:shd w:val="clear" w:color="auto" w:fill="E6E7E8"/>
          </w:tcPr>
          <w:p>
            <w:pPr>
              <w:spacing w:after="0"/>
              <w:rPr>
                <w:sz w:val="19"/>
                <w:szCs w:val="19"/>
                <w:color w:val="auto"/>
              </w:rPr>
            </w:pPr>
          </w:p>
        </w:tc>
        <w:tc>
          <w:tcPr>
            <w:tcW w:w="240" w:type="dxa"/>
            <w:vAlign w:val="bottom"/>
            <w:shd w:val="clear" w:color="auto" w:fill="E6E7E8"/>
          </w:tcPr>
          <w:p>
            <w:pPr>
              <w:spacing w:after="0"/>
              <w:rPr>
                <w:sz w:val="19"/>
                <w:szCs w:val="19"/>
                <w:color w:val="auto"/>
              </w:rPr>
            </w:pPr>
          </w:p>
        </w:tc>
        <w:tc>
          <w:tcPr>
            <w:tcW w:w="520" w:type="dxa"/>
            <w:vAlign w:val="bottom"/>
            <w:shd w:val="clear" w:color="auto" w:fill="E6E7E8"/>
          </w:tcPr>
          <w:p>
            <w:pPr>
              <w:spacing w:after="0"/>
              <w:rPr>
                <w:sz w:val="19"/>
                <w:szCs w:val="19"/>
                <w:color w:val="auto"/>
              </w:rPr>
            </w:pPr>
          </w:p>
        </w:tc>
        <w:tc>
          <w:tcPr>
            <w:tcW w:w="100" w:type="dxa"/>
            <w:vAlign w:val="bottom"/>
            <w:shd w:val="clear" w:color="auto" w:fill="E6E7E8"/>
          </w:tcPr>
          <w:p>
            <w:pPr>
              <w:spacing w:after="0"/>
              <w:rPr>
                <w:sz w:val="19"/>
                <w:szCs w:val="19"/>
                <w:color w:val="auto"/>
              </w:rPr>
            </w:pPr>
          </w:p>
        </w:tc>
        <w:tc>
          <w:tcPr>
            <w:tcW w:w="700" w:type="dxa"/>
            <w:vAlign w:val="bottom"/>
            <w:shd w:val="clear" w:color="auto" w:fill="E6E7E8"/>
          </w:tcPr>
          <w:p>
            <w:pPr>
              <w:spacing w:after="0"/>
              <w:rPr>
                <w:sz w:val="19"/>
                <w:szCs w:val="19"/>
                <w:color w:val="auto"/>
              </w:rPr>
            </w:pPr>
          </w:p>
        </w:tc>
        <w:tc>
          <w:tcPr>
            <w:tcW w:w="300" w:type="dxa"/>
            <w:vAlign w:val="bottom"/>
            <w:shd w:val="clear" w:color="auto" w:fill="E6E7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options/RSUs</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291</w:t>
            </w: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27.4</w:t>
            </w: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640" w:type="dxa"/>
            <w:vAlign w:val="bottom"/>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rPr>
              <w:t>102</w:t>
            </w:r>
          </w:p>
        </w:tc>
        <w:tc>
          <w:tcPr>
            <w:tcW w:w="12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740" w:type="dxa"/>
            <w:vAlign w:val="bottom"/>
            <w:gridSpan w:val="2"/>
            <w:shd w:val="clear" w:color="auto" w:fill="E6E7E8"/>
          </w:tcPr>
          <w:p>
            <w:pPr>
              <w:jc w:val="right"/>
              <w:ind w:right="125"/>
              <w:spacing w:after="0"/>
              <w:rPr>
                <w:sz w:val="20"/>
                <w:szCs w:val="20"/>
                <w:color w:val="auto"/>
              </w:rPr>
            </w:pPr>
            <w:r>
              <w:rPr>
                <w:rFonts w:ascii="Times New Roman" w:cs="Times New Roman" w:eastAsia="Times New Roman" w:hAnsi="Times New Roman"/>
                <w:sz w:val="20"/>
                <w:szCs w:val="20"/>
                <w:color w:val="231F20"/>
              </w:rPr>
              <w:t>2.3</w:t>
            </w:r>
          </w:p>
        </w:tc>
        <w:tc>
          <w:tcPr>
            <w:tcW w:w="10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76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220</w:t>
            </w:r>
          </w:p>
        </w:tc>
        <w:tc>
          <w:tcPr>
            <w:tcW w:w="100" w:type="dxa"/>
            <w:vAlign w:val="bottom"/>
            <w:shd w:val="clear" w:color="auto" w:fill="E6E7E8"/>
          </w:tcPr>
          <w:p>
            <w:pPr>
              <w:spacing w:after="0"/>
              <w:rPr>
                <w:sz w:val="21"/>
                <w:szCs w:val="21"/>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30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Worthless stock deduction</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43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Executive compensation disallowed</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234</w:t>
            </w: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22.0</w:t>
            </w: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1000" w:type="dxa"/>
            <w:vAlign w:val="bottom"/>
            <w:gridSpan w:val="3"/>
            <w:shd w:val="clear" w:color="auto" w:fill="E6E7E8"/>
          </w:tcPr>
          <w:p>
            <w:pPr>
              <w:jc w:val="right"/>
              <w:ind w:right="46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620" w:type="dxa"/>
            <w:vAlign w:val="bottom"/>
            <w:shd w:val="clear" w:color="auto" w:fill="E6E7E8"/>
          </w:tcPr>
          <w:p>
            <w:pPr>
              <w:jc w:val="right"/>
              <w:ind w:right="125"/>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62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shd w:val="clear" w:color="auto" w:fill="E6E7E8"/>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Return to provision and other discrete items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62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4300" w:type="dxa"/>
            <w:vAlign w:val="bottom"/>
            <w:gridSpan w:val="2"/>
            <w:shd w:val="clear" w:color="auto" w:fill="E6E7E8"/>
          </w:tcPr>
          <w:p>
            <w:pPr>
              <w:spacing w:after="0"/>
              <w:rPr>
                <w:sz w:val="20"/>
                <w:szCs w:val="20"/>
                <w:color w:val="auto"/>
              </w:rPr>
            </w:pPr>
            <w:r>
              <w:rPr>
                <w:rFonts w:ascii="Times New Roman" w:cs="Times New Roman" w:eastAsia="Times New Roman" w:hAnsi="Times New Roman"/>
                <w:sz w:val="20"/>
                <w:szCs w:val="20"/>
                <w:color w:val="231F20"/>
              </w:rPr>
              <w:t>Difference in tax rate on foreign earnings/other</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35</w:t>
            </w: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jc w:val="right"/>
              <w:ind w:right="120"/>
              <w:spacing w:after="0"/>
              <w:rPr>
                <w:sz w:val="20"/>
                <w:szCs w:val="20"/>
                <w:color w:val="auto"/>
              </w:rPr>
            </w:pPr>
            <w:r>
              <w:rPr>
                <w:rFonts w:ascii="Times New Roman" w:cs="Times New Roman" w:eastAsia="Times New Roman" w:hAnsi="Times New Roman"/>
                <w:sz w:val="20"/>
                <w:szCs w:val="20"/>
                <w:color w:val="231F20"/>
              </w:rPr>
              <w:t>3.3</w:t>
            </w: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640" w:type="dxa"/>
            <w:vAlign w:val="bottom"/>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232</w:t>
            </w:r>
          </w:p>
        </w:tc>
        <w:tc>
          <w:tcPr>
            <w:tcW w:w="12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740" w:type="dxa"/>
            <w:vAlign w:val="bottom"/>
            <w:gridSpan w:val="2"/>
            <w:shd w:val="clear" w:color="auto" w:fill="E6E7E8"/>
          </w:tcPr>
          <w:p>
            <w:pPr>
              <w:jc w:val="right"/>
              <w:ind w:right="125"/>
              <w:spacing w:after="0"/>
              <w:rPr>
                <w:sz w:val="20"/>
                <w:szCs w:val="20"/>
                <w:color w:val="auto"/>
              </w:rPr>
            </w:pPr>
            <w:r>
              <w:rPr>
                <w:rFonts w:ascii="Times New Roman" w:cs="Times New Roman" w:eastAsia="Times New Roman" w:hAnsi="Times New Roman"/>
                <w:sz w:val="20"/>
                <w:szCs w:val="20"/>
                <w:color w:val="231F20"/>
              </w:rPr>
              <w:t>5.2</w:t>
            </w:r>
          </w:p>
        </w:tc>
        <w:tc>
          <w:tcPr>
            <w:tcW w:w="10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76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100" w:type="dxa"/>
            <w:vAlign w:val="bottom"/>
            <w:shd w:val="clear" w:color="auto" w:fill="E6E7E8"/>
          </w:tcPr>
          <w:p>
            <w:pPr>
              <w:spacing w:after="0"/>
              <w:rPr>
                <w:sz w:val="21"/>
                <w:szCs w:val="21"/>
                <w:color w:val="auto"/>
              </w:rPr>
            </w:pPr>
          </w:p>
        </w:tc>
        <w:tc>
          <w:tcPr>
            <w:tcW w:w="1000" w:type="dxa"/>
            <w:vAlign w:val="bottom"/>
            <w:gridSpan w:val="2"/>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44"/>
        </w:trPr>
        <w:tc>
          <w:tcPr>
            <w:tcW w:w="4300" w:type="dxa"/>
            <w:vAlign w:val="bottom"/>
            <w:tcBorders>
              <w:bottom w:val="single" w:sz="8" w:color="E6E7E8"/>
            </w:tcBorders>
            <w:gridSpan w:val="2"/>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00" w:type="dxa"/>
            <w:vAlign w:val="bottom"/>
            <w:tcBorders>
              <w:bottom w:val="single" w:sz="8" w:color="E6E7E8"/>
            </w:tcBorders>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00" w:type="dxa"/>
            <w:vAlign w:val="bottom"/>
            <w:tcBorders>
              <w:bottom w:val="single" w:sz="8" w:color="E6E7E8"/>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rPr>
              <w:t>(1.6)</w:t>
            </w:r>
          </w:p>
        </w:tc>
        <w:tc>
          <w:tcPr>
            <w:tcW w:w="100" w:type="dxa"/>
            <w:vAlign w:val="bottom"/>
            <w:tcBorders>
              <w:bottom w:val="single" w:sz="8" w:color="E6E7E8"/>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120" w:type="dxa"/>
            <w:vAlign w:val="bottom"/>
            <w:tcBorders>
              <w:bottom w:val="single" w:sz="8" w:color="E6E7E8"/>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gridSpan w:val="2"/>
          </w:tcPr>
          <w:p>
            <w:pPr>
              <w:jc w:val="right"/>
              <w:ind w:right="45"/>
              <w:spacing w:after="0"/>
              <w:rPr>
                <w:sz w:val="20"/>
                <w:szCs w:val="20"/>
                <w:color w:val="auto"/>
              </w:rPr>
            </w:pPr>
            <w:r>
              <w:rPr>
                <w:rFonts w:ascii="Times New Roman" w:cs="Times New Roman" w:eastAsia="Times New Roman" w:hAnsi="Times New Roman"/>
                <w:sz w:val="20"/>
                <w:szCs w:val="20"/>
                <w:color w:val="231F20"/>
              </w:rPr>
              <w:t>(0.3)</w:t>
            </w:r>
          </w:p>
        </w:tc>
        <w:tc>
          <w:tcPr>
            <w:tcW w:w="100" w:type="dxa"/>
            <w:vAlign w:val="bottom"/>
            <w:tcBorders>
              <w:bottom w:val="single" w:sz="8" w:color="E6E7E8"/>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69</w:t>
            </w:r>
          </w:p>
        </w:tc>
        <w:tc>
          <w:tcPr>
            <w:tcW w:w="100" w:type="dxa"/>
            <w:vAlign w:val="bottom"/>
            <w:tcBorders>
              <w:bottom w:val="single" w:sz="8" w:color="E6E7E8"/>
            </w:tcBorders>
          </w:tcPr>
          <w:p>
            <w:pPr>
              <w:spacing w:after="0"/>
              <w:rPr>
                <w:sz w:val="21"/>
                <w:szCs w:val="21"/>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0.8</w:t>
            </w:r>
          </w:p>
        </w:tc>
        <w:tc>
          <w:tcPr>
            <w:tcW w:w="30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tcBorders>
              <w:bottom w:val="single" w:sz="8" w:color="E6E7E8"/>
            </w:tcBorders>
            <w:shd w:val="clear" w:color="auto" w:fill="E6E7E8"/>
          </w:tcPr>
          <w:p>
            <w:pPr>
              <w:spacing w:after="0"/>
              <w:rPr>
                <w:sz w:val="22"/>
                <w:szCs w:val="22"/>
                <w:color w:val="auto"/>
              </w:rPr>
            </w:pPr>
          </w:p>
        </w:tc>
        <w:tc>
          <w:tcPr>
            <w:tcW w:w="268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420" w:type="dxa"/>
            <w:vAlign w:val="bottom"/>
            <w:tcBorders>
              <w:bottom w:val="single" w:sz="8" w:color="231F20"/>
            </w:tcBorders>
            <w:shd w:val="clear" w:color="auto" w:fill="E6E7E8"/>
          </w:tcPr>
          <w:p>
            <w:pPr>
              <w:jc w:val="right"/>
              <w:ind w:right="220"/>
              <w:spacing w:after="0"/>
              <w:rPr>
                <w:sz w:val="20"/>
                <w:szCs w:val="20"/>
                <w:color w:val="auto"/>
              </w:rPr>
            </w:pPr>
            <w:r>
              <w:rPr>
                <w:rFonts w:ascii="Times New Roman" w:cs="Times New Roman" w:eastAsia="Times New Roman" w:hAnsi="Times New Roman"/>
                <w:sz w:val="20"/>
                <w:szCs w:val="20"/>
                <w:color w:val="231F20"/>
                <w:w w:val="79"/>
              </w:rPr>
              <w:t>$</w:t>
            </w:r>
          </w:p>
        </w:tc>
        <w:tc>
          <w:tcPr>
            <w:tcW w:w="540" w:type="dxa"/>
            <w:vAlign w:val="bottom"/>
            <w:tcBorders>
              <w:bottom w:val="single" w:sz="8" w:color="231F20"/>
            </w:tcBorders>
            <w:shd w:val="clear" w:color="auto" w:fill="E6E7E8"/>
          </w:tcPr>
          <w:p>
            <w:pPr>
              <w:jc w:val="right"/>
              <w:ind w:right="22"/>
              <w:spacing w:after="0"/>
              <w:rPr>
                <w:sz w:val="20"/>
                <w:szCs w:val="20"/>
                <w:color w:val="auto"/>
              </w:rPr>
            </w:pPr>
            <w:r>
              <w:rPr>
                <w:rFonts w:ascii="Times New Roman" w:cs="Times New Roman" w:eastAsia="Times New Roman" w:hAnsi="Times New Roman"/>
                <w:sz w:val="20"/>
                <w:szCs w:val="20"/>
                <w:color w:val="231F20"/>
              </w:rPr>
              <w:t>453</w:t>
            </w:r>
          </w:p>
        </w:tc>
        <w:tc>
          <w:tcPr>
            <w:tcW w:w="10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8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42.7%</w:t>
            </w:r>
          </w:p>
        </w:tc>
        <w:tc>
          <w:tcPr>
            <w:tcW w:w="100" w:type="dxa"/>
            <w:vAlign w:val="bottom"/>
            <w:tcBorders>
              <w:bottom w:val="single" w:sz="8" w:color="E6E7E8"/>
            </w:tcBorders>
            <w:shd w:val="clear" w:color="auto" w:fill="E6E7E8"/>
          </w:tcPr>
          <w:p>
            <w:pPr>
              <w:spacing w:after="0"/>
              <w:rPr>
                <w:sz w:val="22"/>
                <w:szCs w:val="22"/>
                <w:color w:val="auto"/>
              </w:rPr>
            </w:pPr>
          </w:p>
        </w:tc>
        <w:tc>
          <w:tcPr>
            <w:tcW w:w="14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6E7E8"/>
              </w:rPr>
              <w:t>$</w:t>
            </w:r>
          </w:p>
        </w:tc>
        <w:tc>
          <w:tcPr>
            <w:tcW w:w="180" w:type="dxa"/>
            <w:vAlign w:val="bottom"/>
            <w:tcBorders>
              <w:bottom w:val="single" w:sz="8" w:color="231F20"/>
            </w:tcBorders>
            <w:shd w:val="clear" w:color="auto" w:fill="E6E7E8"/>
          </w:tcPr>
          <w:p>
            <w:pPr>
              <w:spacing w:after="0"/>
              <w:rPr>
                <w:sz w:val="22"/>
                <w:szCs w:val="22"/>
                <w:color w:val="auto"/>
              </w:rPr>
            </w:pPr>
          </w:p>
        </w:tc>
        <w:tc>
          <w:tcPr>
            <w:tcW w:w="640" w:type="dxa"/>
            <w:vAlign w:val="bottom"/>
            <w:tcBorders>
              <w:bottom w:val="single" w:sz="8" w:color="231F20"/>
            </w:tcBorders>
            <w:shd w:val="clear" w:color="auto" w:fill="E6E7E8"/>
          </w:tcPr>
          <w:p>
            <w:pPr>
              <w:jc w:val="right"/>
              <w:ind w:right="23"/>
              <w:spacing w:after="0"/>
              <w:rPr>
                <w:sz w:val="20"/>
                <w:szCs w:val="20"/>
                <w:color w:val="auto"/>
              </w:rPr>
            </w:pPr>
            <w:r>
              <w:rPr>
                <w:rFonts w:ascii="Times New Roman" w:cs="Times New Roman" w:eastAsia="Times New Roman" w:hAnsi="Times New Roman"/>
                <w:sz w:val="20"/>
                <w:szCs w:val="20"/>
                <w:color w:val="231F20"/>
                <w:shd w:val="clear" w:color="auto" w:fill="E6E7E8"/>
              </w:rPr>
              <w:t>1,022</w:t>
            </w:r>
          </w:p>
        </w:tc>
        <w:tc>
          <w:tcPr>
            <w:tcW w:w="120" w:type="dxa"/>
            <w:vAlign w:val="bottom"/>
            <w:tcBorders>
              <w:bottom w:val="single" w:sz="8" w:color="E6E7E8"/>
            </w:tcBorders>
            <w:shd w:val="clear" w:color="auto" w:fill="E6E7E8"/>
          </w:tcPr>
          <w:p>
            <w:pPr>
              <w:spacing w:after="0"/>
              <w:rPr>
                <w:sz w:val="22"/>
                <w:szCs w:val="22"/>
                <w:color w:val="auto"/>
              </w:rPr>
            </w:pPr>
          </w:p>
        </w:tc>
        <w:tc>
          <w:tcPr>
            <w:tcW w:w="240" w:type="dxa"/>
            <w:vAlign w:val="bottom"/>
            <w:tcBorders>
              <w:bottom w:val="single" w:sz="8" w:color="231F20"/>
            </w:tcBorders>
            <w:shd w:val="clear" w:color="auto" w:fill="E6E7E8"/>
          </w:tcPr>
          <w:p>
            <w:pPr>
              <w:spacing w:after="0"/>
              <w:rPr>
                <w:sz w:val="22"/>
                <w:szCs w:val="22"/>
                <w:color w:val="auto"/>
              </w:rPr>
            </w:pPr>
          </w:p>
        </w:tc>
        <w:tc>
          <w:tcPr>
            <w:tcW w:w="740" w:type="dxa"/>
            <w:vAlign w:val="bottom"/>
            <w:tcBorders>
              <w:bottom w:val="single" w:sz="8" w:color="231F20"/>
            </w:tcBorders>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100" w:type="dxa"/>
            <w:vAlign w:val="bottom"/>
            <w:tcBorders>
              <w:bottom w:val="single" w:sz="8" w:color="E6E7E8"/>
            </w:tcBorders>
            <w:shd w:val="clear" w:color="auto" w:fill="E6E7E8"/>
          </w:tcPr>
          <w:p>
            <w:pPr>
              <w:spacing w:after="0"/>
              <w:rPr>
                <w:sz w:val="22"/>
                <w:szCs w:val="22"/>
                <w:color w:val="auto"/>
              </w:rPr>
            </w:pPr>
          </w:p>
        </w:tc>
        <w:tc>
          <w:tcPr>
            <w:tcW w:w="220" w:type="dxa"/>
            <w:vAlign w:val="bottom"/>
            <w:tcBorders>
              <w:bottom w:val="single" w:sz="8" w:color="231F20"/>
            </w:tcBorders>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shd w:val="clear" w:color="auto" w:fill="E6E7E8"/>
              </w:rPr>
              <w:t>$</w:t>
            </w:r>
          </w:p>
        </w:tc>
        <w:tc>
          <w:tcPr>
            <w:tcW w:w="760" w:type="dxa"/>
            <w:vAlign w:val="bottom"/>
            <w:tcBorders>
              <w:bottom w:val="single" w:sz="8" w:color="231F20"/>
            </w:tcBorders>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shd w:val="clear" w:color="auto" w:fill="E6E7E8"/>
              </w:rPr>
              <w:t>(1,893)</w:t>
            </w:r>
          </w:p>
        </w:tc>
        <w:tc>
          <w:tcPr>
            <w:tcW w:w="100" w:type="dxa"/>
            <w:vAlign w:val="bottom"/>
            <w:tcBorders>
              <w:bottom w:val="single" w:sz="8" w:color="E6E7E8"/>
            </w:tcBorders>
            <w:shd w:val="clear" w:color="auto" w:fill="E6E7E8"/>
          </w:tcPr>
          <w:p>
            <w:pPr>
              <w:spacing w:after="0"/>
              <w:rPr>
                <w:sz w:val="22"/>
                <w:szCs w:val="22"/>
                <w:color w:val="auto"/>
              </w:rPr>
            </w:pPr>
          </w:p>
        </w:tc>
        <w:tc>
          <w:tcPr>
            <w:tcW w:w="1000" w:type="dxa"/>
            <w:vAlign w:val="bottom"/>
            <w:tcBorders>
              <w:bottom w:val="single" w:sz="8" w:color="231F20"/>
            </w:tcBorders>
            <w:gridSpan w:val="2"/>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460" w:type="dxa"/>
            <w:vAlign w:val="bottom"/>
            <w:gridSpan w:val="8"/>
          </w:tcPr>
          <w:p>
            <w:pPr>
              <w:ind w:left="500"/>
              <w:spacing w:after="0"/>
              <w:rPr>
                <w:sz w:val="20"/>
                <w:szCs w:val="20"/>
                <w:color w:val="auto"/>
              </w:rPr>
            </w:pPr>
            <w:r>
              <w:rPr>
                <w:rFonts w:ascii="Times New Roman" w:cs="Times New Roman" w:eastAsia="Times New Roman" w:hAnsi="Times New Roman"/>
                <w:sz w:val="20"/>
                <w:szCs w:val="20"/>
                <w:color w:val="231F20"/>
              </w:rPr>
              <w:t>The components of the deferred tax assets and liabilities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740" w:type="dxa"/>
            <w:vAlign w:val="bottom"/>
            <w:tcBorders>
              <w:bottom w:val="single" w:sz="8" w:color="231F20"/>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231F20"/>
              </w:rPr>
              <w:t>At December 31,</w:t>
            </w:r>
          </w:p>
        </w:tc>
        <w:tc>
          <w:tcPr>
            <w:tcW w:w="100" w:type="dxa"/>
            <w:vAlign w:val="bottom"/>
            <w:tcBorders>
              <w:bottom w:val="single" w:sz="8" w:color="231F20"/>
            </w:tcBorders>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64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231F20"/>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231F20"/>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64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220" w:type="dxa"/>
            <w:vAlign w:val="bottom"/>
            <w:shd w:val="clear" w:color="auto" w:fill="E6E7E8"/>
          </w:tcPr>
          <w:p>
            <w:pPr>
              <w:spacing w:after="0"/>
              <w:rPr>
                <w:sz w:val="21"/>
                <w:szCs w:val="21"/>
                <w:color w:val="auto"/>
              </w:rPr>
            </w:pPr>
          </w:p>
        </w:tc>
        <w:tc>
          <w:tcPr>
            <w:tcW w:w="240" w:type="dxa"/>
            <w:vAlign w:val="bottom"/>
            <w:shd w:val="clear" w:color="auto" w:fill="E6E7E8"/>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Allowance for credit losses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61</w:t>
            </w:r>
          </w:p>
        </w:tc>
        <w:tc>
          <w:tcPr>
            <w:tcW w:w="740" w:type="dxa"/>
            <w:vAlign w:val="bottom"/>
            <w:gridSpan w:val="2"/>
          </w:tcPr>
          <w:p>
            <w:pPr>
              <w:jc w:val="right"/>
              <w:ind w:right="425"/>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231F20"/>
              </w:rPr>
              <w:t>100</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Accrued vacation and bonuses</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1000" w:type="dxa"/>
            <w:vAlign w:val="bottom"/>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603</w:t>
            </w:r>
          </w:p>
        </w:tc>
        <w:tc>
          <w:tcPr>
            <w:tcW w:w="12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560" w:type="dxa"/>
            <w:vAlign w:val="bottom"/>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403</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32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Stock-based compensation expense</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2,248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231F20"/>
                <w:w w:val="97"/>
              </w:rPr>
              <w:t>2,316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3200" w:type="dxa"/>
            <w:vAlign w:val="bottom"/>
            <w:gridSpan w:val="3"/>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Acquisition-related transaction costs</w:t>
            </w:r>
          </w:p>
        </w:tc>
        <w:tc>
          <w:tcPr>
            <w:tcW w:w="54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1000" w:type="dxa"/>
            <w:vAlign w:val="bottom"/>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404</w:t>
            </w:r>
          </w:p>
        </w:tc>
        <w:tc>
          <w:tcPr>
            <w:tcW w:w="12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560" w:type="dxa"/>
            <w:vAlign w:val="bottom"/>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455</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Severance liabilities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410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231F20"/>
              </w:rPr>
              <w:t>448</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Net operating losses</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1000" w:type="dxa"/>
            <w:vAlign w:val="bottom"/>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1,008</w:t>
            </w:r>
          </w:p>
        </w:tc>
        <w:tc>
          <w:tcPr>
            <w:tcW w:w="12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560" w:type="dxa"/>
            <w:vAlign w:val="bottom"/>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452</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tcBorders>
              <w:bottom w:val="single" w:sz="8" w:color="E6E7E8"/>
            </w:tcBorders>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100" w:type="dxa"/>
            <w:vAlign w:val="bottom"/>
            <w:tcBorders>
              <w:bottom w:val="single" w:sz="8" w:color="E6E7E8"/>
            </w:tcBorders>
          </w:tcPr>
          <w:p>
            <w:pPr>
              <w:spacing w:after="0"/>
              <w:rPr>
                <w:sz w:val="21"/>
                <w:szCs w:val="21"/>
                <w:color w:val="auto"/>
              </w:rPr>
            </w:pPr>
          </w:p>
        </w:tc>
        <w:tc>
          <w:tcPr>
            <w:tcW w:w="420" w:type="dxa"/>
            <w:vAlign w:val="bottom"/>
            <w:tcBorders>
              <w:bottom w:val="single" w:sz="8" w:color="E6E7E8"/>
            </w:tcBorders>
          </w:tcPr>
          <w:p>
            <w:pPr>
              <w:spacing w:after="0"/>
              <w:rPr>
                <w:sz w:val="21"/>
                <w:szCs w:val="21"/>
                <w:color w:val="auto"/>
              </w:rPr>
            </w:pPr>
          </w:p>
        </w:tc>
        <w:tc>
          <w:tcPr>
            <w:tcW w:w="540" w:type="dxa"/>
            <w:vAlign w:val="bottom"/>
            <w:tcBorders>
              <w:bottom w:val="single" w:sz="8" w:color="E6E7E8"/>
            </w:tcBorders>
          </w:tcPr>
          <w:p>
            <w:pPr>
              <w:spacing w:after="0"/>
              <w:rPr>
                <w:sz w:val="21"/>
                <w:szCs w:val="21"/>
                <w:color w:val="auto"/>
              </w:rPr>
            </w:pPr>
          </w:p>
        </w:tc>
        <w:tc>
          <w:tcPr>
            <w:tcW w:w="100" w:type="dxa"/>
            <w:vAlign w:val="bottom"/>
            <w:tcBorders>
              <w:bottom w:val="single" w:sz="8" w:color="E6E7E8"/>
            </w:tcBorders>
          </w:tcPr>
          <w:p>
            <w:pPr>
              <w:spacing w:after="0"/>
              <w:rPr>
                <w:sz w:val="21"/>
                <w:szCs w:val="21"/>
                <w:color w:val="auto"/>
              </w:rPr>
            </w:pPr>
          </w:p>
        </w:tc>
        <w:tc>
          <w:tcPr>
            <w:tcW w:w="180" w:type="dxa"/>
            <w:vAlign w:val="bottom"/>
            <w:tcBorders>
              <w:bottom w:val="single" w:sz="8" w:color="E6E7E8"/>
            </w:tcBorders>
          </w:tcPr>
          <w:p>
            <w:pPr>
              <w:spacing w:after="0"/>
              <w:rPr>
                <w:sz w:val="21"/>
                <w:szCs w:val="21"/>
                <w:color w:val="auto"/>
              </w:rPr>
            </w:pPr>
          </w:p>
        </w:tc>
        <w:tc>
          <w:tcPr>
            <w:tcW w:w="820" w:type="dxa"/>
            <w:vAlign w:val="bottom"/>
            <w:tcBorders>
              <w:bottom w:val="single" w:sz="8" w:color="E6E7E8"/>
            </w:tcBorders>
          </w:tcPr>
          <w:p>
            <w:pPr>
              <w:spacing w:after="0"/>
              <w:rPr>
                <w:sz w:val="21"/>
                <w:szCs w:val="21"/>
                <w:color w:val="auto"/>
              </w:rPr>
            </w:pPr>
          </w:p>
        </w:tc>
        <w:tc>
          <w:tcPr>
            <w:tcW w:w="100" w:type="dxa"/>
            <w:vAlign w:val="bottom"/>
            <w:tcBorders>
              <w:bottom w:val="single" w:sz="8" w:color="E6E7E8"/>
            </w:tcBorders>
          </w:tcPr>
          <w:p>
            <w:pPr>
              <w:spacing w:after="0"/>
              <w:rPr>
                <w:sz w:val="21"/>
                <w:szCs w:val="21"/>
                <w:color w:val="auto"/>
              </w:rPr>
            </w:pPr>
          </w:p>
        </w:tc>
        <w:tc>
          <w:tcPr>
            <w:tcW w:w="140" w:type="dxa"/>
            <w:vAlign w:val="bottom"/>
            <w:tcBorders>
              <w:bottom w:val="single" w:sz="8" w:color="E6E7E8"/>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82</w:t>
            </w:r>
          </w:p>
        </w:tc>
        <w:tc>
          <w:tcPr>
            <w:tcW w:w="120" w:type="dxa"/>
            <w:vAlign w:val="bottom"/>
            <w:tcBorders>
              <w:bottom w:val="single" w:sz="8" w:color="E6E7E8"/>
            </w:tcBorders>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gridSpan w:val="3"/>
          </w:tcPr>
          <w:p>
            <w:pPr>
              <w:jc w:val="right"/>
              <w:ind w:right="3"/>
              <w:spacing w:after="0"/>
              <w:rPr>
                <w:sz w:val="20"/>
                <w:szCs w:val="20"/>
                <w:color w:val="auto"/>
              </w:rPr>
            </w:pPr>
            <w:r>
              <w:rPr>
                <w:rFonts w:ascii="Times New Roman" w:cs="Times New Roman" w:eastAsia="Times New Roman" w:hAnsi="Times New Roman"/>
                <w:sz w:val="20"/>
                <w:szCs w:val="20"/>
                <w:color w:val="231F20"/>
              </w:rPr>
              <w:t>157</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26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Total deferred tax assets</w:t>
            </w:r>
          </w:p>
        </w:tc>
        <w:tc>
          <w:tcPr>
            <w:tcW w:w="100" w:type="dxa"/>
            <w:vAlign w:val="bottom"/>
            <w:tcBorders>
              <w:bottom w:val="single" w:sz="8" w:color="E6E7E8"/>
            </w:tcBorders>
            <w:shd w:val="clear" w:color="auto" w:fill="E6E7E8"/>
          </w:tcPr>
          <w:p>
            <w:pPr>
              <w:spacing w:after="0"/>
              <w:rPr>
                <w:sz w:val="22"/>
                <w:szCs w:val="22"/>
                <w:color w:val="auto"/>
              </w:rPr>
            </w:pPr>
          </w:p>
        </w:tc>
        <w:tc>
          <w:tcPr>
            <w:tcW w:w="420" w:type="dxa"/>
            <w:vAlign w:val="bottom"/>
            <w:tcBorders>
              <w:bottom w:val="single" w:sz="8" w:color="E6E7E8"/>
            </w:tcBorders>
            <w:shd w:val="clear" w:color="auto" w:fill="E6E7E8"/>
          </w:tcPr>
          <w:p>
            <w:pPr>
              <w:spacing w:after="0"/>
              <w:rPr>
                <w:sz w:val="22"/>
                <w:szCs w:val="22"/>
                <w:color w:val="auto"/>
              </w:rPr>
            </w:pPr>
          </w:p>
        </w:tc>
        <w:tc>
          <w:tcPr>
            <w:tcW w:w="54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E6E7E8"/>
            </w:tcBorders>
            <w:shd w:val="clear" w:color="auto" w:fill="E6E7E8"/>
          </w:tcPr>
          <w:p>
            <w:pPr>
              <w:spacing w:after="0"/>
              <w:rPr>
                <w:sz w:val="22"/>
                <w:szCs w:val="22"/>
                <w:color w:val="auto"/>
              </w:rPr>
            </w:pPr>
          </w:p>
        </w:tc>
        <w:tc>
          <w:tcPr>
            <w:tcW w:w="82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14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1000" w:type="dxa"/>
            <w:vAlign w:val="bottom"/>
            <w:tcBorders>
              <w:bottom w:val="single" w:sz="8" w:color="231F20"/>
            </w:tcBorders>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4,816</w:t>
            </w:r>
          </w:p>
        </w:tc>
        <w:tc>
          <w:tcPr>
            <w:tcW w:w="120" w:type="dxa"/>
            <w:vAlign w:val="bottom"/>
            <w:tcBorders>
              <w:bottom w:val="single" w:sz="8" w:color="E6E7E8"/>
            </w:tcBorders>
            <w:shd w:val="clear" w:color="auto" w:fill="E6E7E8"/>
          </w:tcPr>
          <w:p>
            <w:pPr>
              <w:spacing w:after="0"/>
              <w:rPr>
                <w:sz w:val="22"/>
                <w:szCs w:val="22"/>
                <w:color w:val="auto"/>
              </w:rPr>
            </w:pPr>
          </w:p>
        </w:tc>
        <w:tc>
          <w:tcPr>
            <w:tcW w:w="620" w:type="dxa"/>
            <w:vAlign w:val="bottom"/>
            <w:tcBorders>
              <w:bottom w:val="single" w:sz="8" w:color="231F20"/>
            </w:tcBorders>
            <w:shd w:val="clear" w:color="auto" w:fill="E6E7E8"/>
          </w:tcPr>
          <w:p>
            <w:pPr>
              <w:spacing w:after="0"/>
              <w:rPr>
                <w:sz w:val="22"/>
                <w:szCs w:val="22"/>
                <w:color w:val="auto"/>
              </w:rPr>
            </w:pPr>
          </w:p>
        </w:tc>
        <w:tc>
          <w:tcPr>
            <w:tcW w:w="560" w:type="dxa"/>
            <w:vAlign w:val="bottom"/>
            <w:tcBorders>
              <w:bottom w:val="single" w:sz="8" w:color="231F20"/>
            </w:tcBorders>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w w:val="97"/>
              </w:rPr>
              <w:t>4,331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26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Deferred tax liabilities: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Prepaid expenses</w:t>
            </w:r>
          </w:p>
        </w:tc>
        <w:tc>
          <w:tcPr>
            <w:tcW w:w="100" w:type="dxa"/>
            <w:vAlign w:val="bottom"/>
            <w:shd w:val="clear" w:color="auto" w:fill="E6E7E8"/>
          </w:tcPr>
          <w:p>
            <w:pPr>
              <w:spacing w:after="0"/>
              <w:rPr>
                <w:sz w:val="21"/>
                <w:szCs w:val="21"/>
                <w:color w:val="auto"/>
              </w:rPr>
            </w:pPr>
          </w:p>
        </w:tc>
        <w:tc>
          <w:tcPr>
            <w:tcW w:w="420" w:type="dxa"/>
            <w:vAlign w:val="bottom"/>
            <w:shd w:val="clear" w:color="auto" w:fill="E6E7E8"/>
          </w:tcPr>
          <w:p>
            <w:pPr>
              <w:spacing w:after="0"/>
              <w:rPr>
                <w:sz w:val="21"/>
                <w:szCs w:val="21"/>
                <w:color w:val="auto"/>
              </w:rPr>
            </w:pPr>
          </w:p>
        </w:tc>
        <w:tc>
          <w:tcPr>
            <w:tcW w:w="54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8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4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1000" w:type="dxa"/>
            <w:vAlign w:val="bottom"/>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536</w:t>
            </w:r>
          </w:p>
        </w:tc>
        <w:tc>
          <w:tcPr>
            <w:tcW w:w="120" w:type="dxa"/>
            <w:vAlign w:val="bottom"/>
            <w:shd w:val="clear" w:color="auto" w:fill="E6E7E8"/>
          </w:tcPr>
          <w:p>
            <w:pPr>
              <w:spacing w:after="0"/>
              <w:rPr>
                <w:sz w:val="21"/>
                <w:szCs w:val="21"/>
                <w:color w:val="auto"/>
              </w:rPr>
            </w:pPr>
          </w:p>
        </w:tc>
        <w:tc>
          <w:tcPr>
            <w:tcW w:w="620" w:type="dxa"/>
            <w:vAlign w:val="bottom"/>
            <w:shd w:val="clear" w:color="auto" w:fill="E6E7E8"/>
          </w:tcPr>
          <w:p>
            <w:pPr>
              <w:spacing w:after="0"/>
              <w:rPr>
                <w:sz w:val="21"/>
                <w:szCs w:val="21"/>
                <w:color w:val="auto"/>
              </w:rPr>
            </w:pPr>
          </w:p>
        </w:tc>
        <w:tc>
          <w:tcPr>
            <w:tcW w:w="560" w:type="dxa"/>
            <w:vAlign w:val="bottom"/>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rPr>
              <w:t>776</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4840" w:type="dxa"/>
            <w:vAlign w:val="bottom"/>
            <w:tcBorders>
              <w:bottom w:val="single" w:sz="8" w:color="E6E7E8"/>
            </w:tcBorders>
            <w:gridSpan w:val="7"/>
          </w:tcPr>
          <w:p>
            <w:pPr>
              <w:ind w:left="200"/>
              <w:spacing w:after="0"/>
              <w:rPr>
                <w:sz w:val="20"/>
                <w:szCs w:val="20"/>
                <w:color w:val="auto"/>
              </w:rPr>
            </w:pPr>
            <w:r>
              <w:rPr>
                <w:rFonts w:ascii="Times New Roman" w:cs="Times New Roman" w:eastAsia="Times New Roman" w:hAnsi="Times New Roman"/>
                <w:sz w:val="20"/>
                <w:szCs w:val="20"/>
                <w:color w:val="231F20"/>
              </w:rPr>
              <w:t>Depreciation, intangibles and contingent consideration</w:t>
            </w:r>
          </w:p>
        </w:tc>
        <w:tc>
          <w:tcPr>
            <w:tcW w:w="100" w:type="dxa"/>
            <w:vAlign w:val="bottom"/>
            <w:tcBorders>
              <w:bottom w:val="single" w:sz="8" w:color="E6E7E8"/>
            </w:tcBorders>
          </w:tcPr>
          <w:p>
            <w:pPr>
              <w:spacing w:after="0"/>
              <w:rPr>
                <w:sz w:val="21"/>
                <w:szCs w:val="21"/>
                <w:color w:val="auto"/>
              </w:rPr>
            </w:pPr>
          </w:p>
        </w:tc>
        <w:tc>
          <w:tcPr>
            <w:tcW w:w="140" w:type="dxa"/>
            <w:vAlign w:val="bottom"/>
            <w:tcBorders>
              <w:bottom w:val="single" w:sz="8" w:color="E6E7E8"/>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1,262</w:t>
            </w:r>
          </w:p>
        </w:tc>
        <w:tc>
          <w:tcPr>
            <w:tcW w:w="120" w:type="dxa"/>
            <w:vAlign w:val="bottom"/>
            <w:tcBorders>
              <w:bottom w:val="single" w:sz="8" w:color="E6E7E8"/>
            </w:tcBorders>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gridSpan w:val="3"/>
          </w:tcPr>
          <w:p>
            <w:pPr>
              <w:jc w:val="right"/>
              <w:ind w:right="3"/>
              <w:spacing w:after="0"/>
              <w:rPr>
                <w:sz w:val="20"/>
                <w:szCs w:val="20"/>
                <w:color w:val="auto"/>
              </w:rPr>
            </w:pPr>
            <w:r>
              <w:rPr>
                <w:rFonts w:ascii="Times New Roman" w:cs="Times New Roman" w:eastAsia="Times New Roman" w:hAnsi="Times New Roman"/>
                <w:sz w:val="20"/>
                <w:szCs w:val="20"/>
                <w:color w:val="231F20"/>
                <w:w w:val="97"/>
              </w:rPr>
              <w:t>1,805</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268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Total deferred tax liabilities</w:t>
            </w:r>
          </w:p>
        </w:tc>
        <w:tc>
          <w:tcPr>
            <w:tcW w:w="100" w:type="dxa"/>
            <w:vAlign w:val="bottom"/>
            <w:shd w:val="clear" w:color="auto" w:fill="E6E7E8"/>
          </w:tcPr>
          <w:p>
            <w:pPr>
              <w:spacing w:after="0"/>
              <w:rPr>
                <w:sz w:val="20"/>
                <w:szCs w:val="20"/>
                <w:color w:val="auto"/>
              </w:rPr>
            </w:pPr>
          </w:p>
        </w:tc>
        <w:tc>
          <w:tcPr>
            <w:tcW w:w="420" w:type="dxa"/>
            <w:vAlign w:val="bottom"/>
            <w:shd w:val="clear" w:color="auto" w:fill="E6E7E8"/>
          </w:tcPr>
          <w:p>
            <w:pPr>
              <w:spacing w:after="0"/>
              <w:rPr>
                <w:sz w:val="20"/>
                <w:szCs w:val="20"/>
                <w:color w:val="auto"/>
              </w:rPr>
            </w:pPr>
          </w:p>
        </w:tc>
        <w:tc>
          <w:tcPr>
            <w:tcW w:w="54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820" w:type="dxa"/>
            <w:vAlign w:val="bottom"/>
            <w:shd w:val="clear" w:color="auto" w:fill="E6E7E8"/>
          </w:tcPr>
          <w:p>
            <w:pPr>
              <w:spacing w:after="0"/>
              <w:rPr>
                <w:sz w:val="20"/>
                <w:szCs w:val="20"/>
                <w:color w:val="auto"/>
              </w:rPr>
            </w:pPr>
          </w:p>
        </w:tc>
        <w:tc>
          <w:tcPr>
            <w:tcW w:w="100" w:type="dxa"/>
            <w:vAlign w:val="bottom"/>
            <w:shd w:val="clear" w:color="auto" w:fill="E6E7E8"/>
          </w:tcPr>
          <w:p>
            <w:pPr>
              <w:spacing w:after="0"/>
              <w:rPr>
                <w:sz w:val="20"/>
                <w:szCs w:val="20"/>
                <w:color w:val="auto"/>
              </w:rPr>
            </w:pPr>
          </w:p>
        </w:tc>
        <w:tc>
          <w:tcPr>
            <w:tcW w:w="140" w:type="dxa"/>
            <w:vAlign w:val="bottom"/>
            <w:shd w:val="clear" w:color="auto" w:fill="E6E7E8"/>
          </w:tcPr>
          <w:p>
            <w:pPr>
              <w:spacing w:after="0"/>
              <w:rPr>
                <w:sz w:val="20"/>
                <w:szCs w:val="20"/>
                <w:color w:val="auto"/>
              </w:rPr>
            </w:pPr>
          </w:p>
        </w:tc>
        <w:tc>
          <w:tcPr>
            <w:tcW w:w="180" w:type="dxa"/>
            <w:vAlign w:val="bottom"/>
            <w:shd w:val="clear" w:color="auto" w:fill="E6E7E8"/>
          </w:tcPr>
          <w:p>
            <w:pPr>
              <w:spacing w:after="0"/>
              <w:rPr>
                <w:sz w:val="20"/>
                <w:szCs w:val="20"/>
                <w:color w:val="auto"/>
              </w:rPr>
            </w:pPr>
          </w:p>
        </w:tc>
        <w:tc>
          <w:tcPr>
            <w:tcW w:w="1000" w:type="dxa"/>
            <w:vAlign w:val="bottom"/>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1,798</w:t>
            </w:r>
          </w:p>
        </w:tc>
        <w:tc>
          <w:tcPr>
            <w:tcW w:w="120" w:type="dxa"/>
            <w:vAlign w:val="bottom"/>
            <w:shd w:val="clear" w:color="auto" w:fill="E6E7E8"/>
          </w:tcPr>
          <w:p>
            <w:pPr>
              <w:spacing w:after="0"/>
              <w:rPr>
                <w:sz w:val="20"/>
                <w:szCs w:val="20"/>
                <w:color w:val="auto"/>
              </w:rPr>
            </w:pPr>
          </w:p>
        </w:tc>
        <w:tc>
          <w:tcPr>
            <w:tcW w:w="620" w:type="dxa"/>
            <w:vAlign w:val="bottom"/>
            <w:shd w:val="clear" w:color="auto" w:fill="E6E7E8"/>
          </w:tcPr>
          <w:p>
            <w:pPr>
              <w:spacing w:after="0"/>
              <w:rPr>
                <w:sz w:val="20"/>
                <w:szCs w:val="20"/>
                <w:color w:val="auto"/>
              </w:rPr>
            </w:pPr>
          </w:p>
        </w:tc>
        <w:tc>
          <w:tcPr>
            <w:tcW w:w="560" w:type="dxa"/>
            <w:vAlign w:val="bottom"/>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w w:val="97"/>
              </w:rPr>
              <w:t>2,581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268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Valuation allowance</w:t>
            </w:r>
          </w:p>
        </w:tc>
        <w:tc>
          <w:tcPr>
            <w:tcW w:w="100" w:type="dxa"/>
            <w:vAlign w:val="bottom"/>
            <w:tcBorders>
              <w:bottom w:val="single" w:sz="8" w:color="E6E7E8"/>
            </w:tcBorders>
          </w:tcPr>
          <w:p>
            <w:pPr>
              <w:spacing w:after="0"/>
              <w:rPr>
                <w:sz w:val="21"/>
                <w:szCs w:val="21"/>
                <w:color w:val="auto"/>
              </w:rPr>
            </w:pPr>
          </w:p>
        </w:tc>
        <w:tc>
          <w:tcPr>
            <w:tcW w:w="420" w:type="dxa"/>
            <w:vAlign w:val="bottom"/>
            <w:tcBorders>
              <w:bottom w:val="single" w:sz="8" w:color="E6E7E8"/>
            </w:tcBorders>
          </w:tcPr>
          <w:p>
            <w:pPr>
              <w:spacing w:after="0"/>
              <w:rPr>
                <w:sz w:val="21"/>
                <w:szCs w:val="21"/>
                <w:color w:val="auto"/>
              </w:rPr>
            </w:pPr>
          </w:p>
        </w:tc>
        <w:tc>
          <w:tcPr>
            <w:tcW w:w="540" w:type="dxa"/>
            <w:vAlign w:val="bottom"/>
            <w:tcBorders>
              <w:bottom w:val="single" w:sz="8" w:color="E6E7E8"/>
            </w:tcBorders>
          </w:tcPr>
          <w:p>
            <w:pPr>
              <w:spacing w:after="0"/>
              <w:rPr>
                <w:sz w:val="21"/>
                <w:szCs w:val="21"/>
                <w:color w:val="auto"/>
              </w:rPr>
            </w:pPr>
          </w:p>
        </w:tc>
        <w:tc>
          <w:tcPr>
            <w:tcW w:w="100" w:type="dxa"/>
            <w:vAlign w:val="bottom"/>
            <w:tcBorders>
              <w:bottom w:val="single" w:sz="8" w:color="E6E7E8"/>
            </w:tcBorders>
          </w:tcPr>
          <w:p>
            <w:pPr>
              <w:spacing w:after="0"/>
              <w:rPr>
                <w:sz w:val="21"/>
                <w:szCs w:val="21"/>
                <w:color w:val="auto"/>
              </w:rPr>
            </w:pPr>
          </w:p>
        </w:tc>
        <w:tc>
          <w:tcPr>
            <w:tcW w:w="180" w:type="dxa"/>
            <w:vAlign w:val="bottom"/>
            <w:tcBorders>
              <w:bottom w:val="single" w:sz="8" w:color="E6E7E8"/>
            </w:tcBorders>
          </w:tcPr>
          <w:p>
            <w:pPr>
              <w:spacing w:after="0"/>
              <w:rPr>
                <w:sz w:val="21"/>
                <w:szCs w:val="21"/>
                <w:color w:val="auto"/>
              </w:rPr>
            </w:pPr>
          </w:p>
        </w:tc>
        <w:tc>
          <w:tcPr>
            <w:tcW w:w="820" w:type="dxa"/>
            <w:vAlign w:val="bottom"/>
            <w:tcBorders>
              <w:bottom w:val="single" w:sz="8" w:color="E6E7E8"/>
            </w:tcBorders>
          </w:tcPr>
          <w:p>
            <w:pPr>
              <w:spacing w:after="0"/>
              <w:rPr>
                <w:sz w:val="21"/>
                <w:szCs w:val="21"/>
                <w:color w:val="auto"/>
              </w:rPr>
            </w:pPr>
          </w:p>
        </w:tc>
        <w:tc>
          <w:tcPr>
            <w:tcW w:w="100" w:type="dxa"/>
            <w:vAlign w:val="bottom"/>
            <w:tcBorders>
              <w:bottom w:val="single" w:sz="8" w:color="E6E7E8"/>
            </w:tcBorders>
          </w:tcPr>
          <w:p>
            <w:pPr>
              <w:spacing w:after="0"/>
              <w:rPr>
                <w:sz w:val="21"/>
                <w:szCs w:val="21"/>
                <w:color w:val="auto"/>
              </w:rPr>
            </w:pPr>
          </w:p>
        </w:tc>
        <w:tc>
          <w:tcPr>
            <w:tcW w:w="140" w:type="dxa"/>
            <w:vAlign w:val="bottom"/>
            <w:tcBorders>
              <w:bottom w:val="single" w:sz="8" w:color="E6E7E8"/>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(435)</w:t>
            </w:r>
          </w:p>
        </w:tc>
        <w:tc>
          <w:tcPr>
            <w:tcW w:w="120" w:type="dxa"/>
            <w:vAlign w:val="bottom"/>
            <w:tcBorders>
              <w:bottom w:val="single" w:sz="8" w:color="E6E7E8"/>
            </w:tcBorders>
          </w:tcPr>
          <w:p>
            <w:pPr>
              <w:spacing w:after="0"/>
              <w:rPr>
                <w:sz w:val="21"/>
                <w:szCs w:val="21"/>
                <w:color w:val="auto"/>
              </w:rPr>
            </w:pPr>
          </w:p>
        </w:tc>
        <w:tc>
          <w:tcPr>
            <w:tcW w:w="62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268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deferred tax asset (liability)</w:t>
            </w:r>
          </w:p>
        </w:tc>
        <w:tc>
          <w:tcPr>
            <w:tcW w:w="100" w:type="dxa"/>
            <w:vAlign w:val="bottom"/>
            <w:tcBorders>
              <w:bottom w:val="single" w:sz="8" w:color="E6E7E8"/>
            </w:tcBorders>
            <w:shd w:val="clear" w:color="auto" w:fill="E6E7E8"/>
          </w:tcPr>
          <w:p>
            <w:pPr>
              <w:spacing w:after="0"/>
              <w:rPr>
                <w:sz w:val="22"/>
                <w:szCs w:val="22"/>
                <w:color w:val="auto"/>
              </w:rPr>
            </w:pPr>
          </w:p>
        </w:tc>
        <w:tc>
          <w:tcPr>
            <w:tcW w:w="420" w:type="dxa"/>
            <w:vAlign w:val="bottom"/>
            <w:tcBorders>
              <w:bottom w:val="single" w:sz="8" w:color="E6E7E8"/>
            </w:tcBorders>
            <w:shd w:val="clear" w:color="auto" w:fill="E6E7E8"/>
          </w:tcPr>
          <w:p>
            <w:pPr>
              <w:spacing w:after="0"/>
              <w:rPr>
                <w:sz w:val="22"/>
                <w:szCs w:val="22"/>
                <w:color w:val="auto"/>
              </w:rPr>
            </w:pPr>
          </w:p>
        </w:tc>
        <w:tc>
          <w:tcPr>
            <w:tcW w:w="54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E6E7E8"/>
            </w:tcBorders>
            <w:shd w:val="clear" w:color="auto" w:fill="E6E7E8"/>
          </w:tcPr>
          <w:p>
            <w:pPr>
              <w:spacing w:after="0"/>
              <w:rPr>
                <w:sz w:val="22"/>
                <w:szCs w:val="22"/>
                <w:color w:val="auto"/>
              </w:rPr>
            </w:pPr>
          </w:p>
        </w:tc>
        <w:tc>
          <w:tcPr>
            <w:tcW w:w="820" w:type="dxa"/>
            <w:vAlign w:val="bottom"/>
            <w:tcBorders>
              <w:bottom w:val="single" w:sz="8" w:color="E6E7E8"/>
            </w:tcBorders>
            <w:shd w:val="clear" w:color="auto" w:fill="E6E7E8"/>
          </w:tcPr>
          <w:p>
            <w:pPr>
              <w:spacing w:after="0"/>
              <w:rPr>
                <w:sz w:val="22"/>
                <w:szCs w:val="22"/>
                <w:color w:val="auto"/>
              </w:rPr>
            </w:pPr>
          </w:p>
        </w:tc>
        <w:tc>
          <w:tcPr>
            <w:tcW w:w="100" w:type="dxa"/>
            <w:vAlign w:val="bottom"/>
            <w:tcBorders>
              <w:bottom w:val="single" w:sz="8" w:color="E6E7E8"/>
            </w:tcBorders>
            <w:shd w:val="clear" w:color="auto" w:fill="E6E7E8"/>
          </w:tcPr>
          <w:p>
            <w:pPr>
              <w:spacing w:after="0"/>
              <w:rPr>
                <w:sz w:val="22"/>
                <w:szCs w:val="22"/>
                <w:color w:val="auto"/>
              </w:rPr>
            </w:pPr>
          </w:p>
        </w:tc>
        <w:tc>
          <w:tcPr>
            <w:tcW w:w="14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gridSpan w:val="3"/>
            <w:shd w:val="clear" w:color="auto" w:fill="E6E7E8"/>
          </w:tcPr>
          <w:p>
            <w:pPr>
              <w:jc w:val="right"/>
              <w:ind w:right="100"/>
              <w:spacing w:after="0"/>
              <w:rPr>
                <w:sz w:val="20"/>
                <w:szCs w:val="20"/>
                <w:color w:val="auto"/>
              </w:rPr>
            </w:pPr>
            <w:r>
              <w:rPr>
                <w:rFonts w:ascii="Times New Roman" w:cs="Times New Roman" w:eastAsia="Times New Roman" w:hAnsi="Times New Roman"/>
                <w:sz w:val="20"/>
                <w:szCs w:val="20"/>
                <w:color w:val="231F20"/>
              </w:rPr>
              <w:t>2,583</w:t>
            </w:r>
          </w:p>
        </w:tc>
        <w:tc>
          <w:tcPr>
            <w:tcW w:w="120" w:type="dxa"/>
            <w:vAlign w:val="bottom"/>
            <w:tcBorders>
              <w:bottom w:val="single" w:sz="8" w:color="E6E7E8"/>
            </w:tcBorders>
            <w:shd w:val="clear" w:color="auto" w:fill="E6E7E8"/>
          </w:tcPr>
          <w:p>
            <w:pPr>
              <w:spacing w:after="0"/>
              <w:rPr>
                <w:sz w:val="22"/>
                <w:szCs w:val="22"/>
                <w:color w:val="auto"/>
              </w:rPr>
            </w:pPr>
          </w:p>
        </w:tc>
        <w:tc>
          <w:tcPr>
            <w:tcW w:w="620" w:type="dxa"/>
            <w:vAlign w:val="bottom"/>
            <w:tcBorders>
              <w:bottom w:val="single" w:sz="8" w:color="231F20"/>
            </w:tcBorders>
            <w:shd w:val="clear" w:color="auto" w:fill="E6E7E8"/>
          </w:tcPr>
          <w:p>
            <w:pPr>
              <w:jc w:val="right"/>
              <w:ind w:right="425"/>
              <w:spacing w:after="0"/>
              <w:rPr>
                <w:sz w:val="20"/>
                <w:szCs w:val="20"/>
                <w:color w:val="auto"/>
              </w:rPr>
            </w:pPr>
            <w:r>
              <w:rPr>
                <w:rFonts w:ascii="Times New Roman" w:cs="Times New Roman" w:eastAsia="Times New Roman" w:hAnsi="Times New Roman"/>
                <w:sz w:val="20"/>
                <w:szCs w:val="20"/>
                <w:color w:val="231F20"/>
                <w:w w:val="79"/>
              </w:rPr>
              <w:t>$</w:t>
            </w:r>
          </w:p>
        </w:tc>
        <w:tc>
          <w:tcPr>
            <w:tcW w:w="560" w:type="dxa"/>
            <w:vAlign w:val="bottom"/>
            <w:tcBorders>
              <w:bottom w:val="single" w:sz="8" w:color="231F20"/>
            </w:tcBorders>
            <w:gridSpan w:val="3"/>
            <w:shd w:val="clear" w:color="auto" w:fill="E6E7E8"/>
          </w:tcPr>
          <w:p>
            <w:pPr>
              <w:jc w:val="right"/>
              <w:ind w:right="3"/>
              <w:spacing w:after="0"/>
              <w:rPr>
                <w:sz w:val="20"/>
                <w:szCs w:val="20"/>
                <w:color w:val="auto"/>
              </w:rPr>
            </w:pPr>
            <w:r>
              <w:rPr>
                <w:rFonts w:ascii="Times New Roman" w:cs="Times New Roman" w:eastAsia="Times New Roman" w:hAnsi="Times New Roman"/>
                <w:sz w:val="20"/>
                <w:szCs w:val="20"/>
                <w:color w:val="231F20"/>
                <w:w w:val="97"/>
              </w:rPr>
              <w:t>1,298</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-5049520</wp:posOffset>
            </wp:positionV>
            <wp:extent cx="391541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3915410" cy="3810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-4885055</wp:posOffset>
            </wp:positionV>
            <wp:extent cx="272161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2721610" cy="38100"/>
                    </a:xfrm>
                    <a:prstGeom prst="rect">
                      <a:avLst/>
                    </a:prstGeom>
                    <a:noFill/>
                  </pic:spPr>
                </pic:pic>
              </a:graphicData>
            </a:graphic>
          </wp:anchor>
        </w:drawing>
      </w:r>
    </w:p>
    <w:p>
      <w:pPr>
        <w:sectPr>
          <w:pgSz w:w="11880" w:h="15480" w:orient="portrait"/>
          <w:cols w:equalWidth="0" w:num="1">
            <w:col w:w="10800"/>
          </w:cols>
          <w:pgMar w:left="540" w:top="750" w:right="540" w:bottom="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800"/>
          </w:cols>
          <w:pgMar w:left="540" w:top="750" w:right="540" w:bottom="0" w:gutter="0" w:footer="0" w:header="0"/>
          <w:type w:val="continuous"/>
        </w:sectPr>
      </w:pPr>
    </w:p>
    <w:bookmarkStart w:id="74" w:name="page75"/>
    <w:bookmarkEnd w:id="74"/>
    <w:p>
      <w:pPr>
        <w:ind w:right="600" w:firstLine="490"/>
        <w:spacing w:after="0" w:line="277" w:lineRule="auto"/>
        <w:rPr>
          <w:sz w:val="20"/>
          <w:szCs w:val="20"/>
          <w:color w:val="auto"/>
        </w:rPr>
      </w:pPr>
      <w:r>
        <w:rPr>
          <w:rFonts w:ascii="Times New Roman" w:cs="Times New Roman" w:eastAsia="Times New Roman" w:hAnsi="Times New Roman"/>
          <w:sz w:val="20"/>
          <w:szCs w:val="20"/>
          <w:color w:val="231F20"/>
        </w:rPr>
        <w:t>For the three years ending on December 31, 2025, the Company had no unrecognized tax benefits related to uncertain tax positions.</w:t>
      </w:r>
    </w:p>
    <w:p>
      <w:pPr>
        <w:spacing w:after="0" w:line="16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evaluate deferred income taxes quarterly to determine if valuation allowances are required or should be adjusted GAAP accounting guidance requires us to assess whether valuation allowances should be established against deferred tax asset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December 31, 2025 and 2024, our valuation allowance was comprised of net operating loses in Ireland and the United Kingdom totaled approximately $435,000 and $452,0000, respectively. Our valuation allowances reflects net operating losses which may not be realized in the future.</w:t>
      </w:r>
    </w:p>
    <w:p>
      <w:pPr>
        <w:spacing w:after="0" w:line="316" w:lineRule="exact"/>
        <w:rPr>
          <w:sz w:val="20"/>
          <w:szCs w:val="20"/>
          <w:color w:val="auto"/>
        </w:rPr>
      </w:pPr>
    </w:p>
    <w:p>
      <w:pPr>
        <w:ind w:left="480" w:hanging="480"/>
        <w:spacing w:after="0"/>
        <w:tabs>
          <w:tab w:leader="none" w:pos="480" w:val="left"/>
        </w:tabs>
        <w:numPr>
          <w:ilvl w:val="0"/>
          <w:numId w:val="35"/>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Shareholders’ Equity</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On February 8, 2023, the Company announced that the Board of Directors authorized a share repurchase program of up to 500,000 shares of the Company’s common stock over a two-year period. Repurchases under the program could occur from time to time in the open market, through privately negotiated transactions, through block purchases or other purchase techniques, or by any combination of such methods. On February 19, 2025, the Company announced that the Board of Directors had authorized an extension of its previously announced share repurchase program for an additional year through February 8, 2026. During the year ending on December 31, 2025, the Company repurchased 299,523 shares of common stock at an average price of $7.49 per share under this program. Common shares available for share repurchase under this program totaled 124,000 on December 31, 2025. On February 8, 2026, this share repurchase program expired by its terms.</w:t>
      </w:r>
    </w:p>
    <w:p>
      <w:pPr>
        <w:spacing w:after="0" w:line="8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77"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Additionally, the Company makes stock purchases from time to time to satisfy employee tax obligations related to its Stock Incentive Plan. The Company did not purchase any shares to satisfy employee tax obligations during the years ended December 31, 2025 and 2024.</w:t>
      </w:r>
    </w:p>
    <w:p>
      <w:pPr>
        <w:spacing w:after="0" w:line="68"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On December 31, 2025 and 2024, the company held 2.0 million and 1.7 million shares in its treasury at a cost of approximately $7.1 million and $4.9 million, respectively.</w:t>
      </w:r>
    </w:p>
    <w:p>
      <w:pPr>
        <w:spacing w:after="0" w:line="285" w:lineRule="exact"/>
        <w:rPr>
          <w:sz w:val="20"/>
          <w:szCs w:val="20"/>
          <w:color w:val="auto"/>
        </w:rPr>
      </w:pPr>
    </w:p>
    <w:p>
      <w:pPr>
        <w:ind w:left="480" w:hanging="480"/>
        <w:spacing w:after="0"/>
        <w:tabs>
          <w:tab w:leader="none" w:pos="480" w:val="left"/>
        </w:tabs>
        <w:numPr>
          <w:ilvl w:val="0"/>
          <w:numId w:val="3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Earnings (Loss) per Share</w:t>
      </w:r>
    </w:p>
    <w:p>
      <w:pPr>
        <w:spacing w:after="0" w:line="124"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231F20"/>
        </w:rPr>
        <w:t>The computation of basic earnings (loss) per share (“EPS”) is based on the Company’s net income (loss) divided by the weighted average number of common shares outstanding. Diluted earnings (loss) per share reflects the potential dilution that could occur if outstanding stock options and restricted share units were exercised / released. The dilutive effect of stock options and restricted share units were calculated using the treasury stock method.</w:t>
      </w:r>
    </w:p>
    <w:p>
      <w:pPr>
        <w:spacing w:after="0" w:line="19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For the years ended December 31, 2025 and 2024, there were 1,686,000 and 1,040,000 anti-dilutive stock options excluded from the computation of diluted earnings per share. For the year ended December 31, 2023, all stock options and restricted shares were anti-dilutive and excluded from the computation of diluted (loss) per share.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following table sets forth the denominators of the basic and diluted EPS computations:</w:t>
      </w:r>
    </w:p>
    <w:p>
      <w:pPr>
        <w:spacing w:after="0" w:line="290"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0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r>
      <w:tr>
        <w:trPr>
          <w:trHeight w:val="193"/>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(Amounts in thousands, except per share data)</w:t>
            </w:r>
          </w:p>
        </w:tc>
        <w:tc>
          <w:tcPr>
            <w:tcW w:w="1380" w:type="dxa"/>
            <w:vAlign w:val="bottom"/>
            <w:gridSpan w:val="2"/>
          </w:tcPr>
          <w:p>
            <w:pPr>
              <w:jc w:val="right"/>
              <w:ind w:right="42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Pr>
          <w:p>
            <w:pPr>
              <w:spacing w:after="0"/>
              <w:rPr>
                <w:sz w:val="16"/>
                <w:szCs w:val="16"/>
                <w:color w:val="auto"/>
              </w:rPr>
            </w:pPr>
          </w:p>
        </w:tc>
      </w:tr>
      <w:tr>
        <w:trPr>
          <w:trHeight w:val="239"/>
        </w:trPr>
        <w:tc>
          <w:tcPr>
            <w:tcW w:w="4520" w:type="dxa"/>
            <w:vAlign w:val="bottom"/>
            <w:tcBorders>
              <w:top w:val="single" w:sz="8" w:color="231F20"/>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Weighted-average shares outstanding:</w:t>
            </w:r>
          </w:p>
        </w:tc>
        <w:tc>
          <w:tcPr>
            <w:tcW w:w="140" w:type="dxa"/>
            <w:vAlign w:val="bottom"/>
            <w:tcBorders>
              <w:top w:val="single" w:sz="8" w:color="E6E7E8"/>
            </w:tcBorders>
            <w:shd w:val="clear" w:color="auto" w:fill="E6E7E8"/>
          </w:tcPr>
          <w:p>
            <w:pPr>
              <w:spacing w:after="0"/>
              <w:rPr>
                <w:sz w:val="20"/>
                <w:szCs w:val="20"/>
                <w:color w:val="auto"/>
              </w:rPr>
            </w:pPr>
          </w:p>
        </w:tc>
        <w:tc>
          <w:tcPr>
            <w:tcW w:w="1240" w:type="dxa"/>
            <w:vAlign w:val="bottom"/>
            <w:tcBorders>
              <w:top w:val="single" w:sz="8" w:color="231F20"/>
            </w:tcBorders>
            <w:shd w:val="clear" w:color="auto" w:fill="E6E7E8"/>
          </w:tcPr>
          <w:p>
            <w:pPr>
              <w:spacing w:after="0"/>
              <w:rPr>
                <w:sz w:val="20"/>
                <w:szCs w:val="20"/>
                <w:color w:val="auto"/>
              </w:rPr>
            </w:pPr>
          </w:p>
        </w:tc>
        <w:tc>
          <w:tcPr>
            <w:tcW w:w="140" w:type="dxa"/>
            <w:vAlign w:val="bottom"/>
            <w:tcBorders>
              <w:top w:val="single" w:sz="8" w:color="E6E7E8"/>
            </w:tcBorders>
            <w:shd w:val="clear" w:color="auto" w:fill="E6E7E8"/>
          </w:tcPr>
          <w:p>
            <w:pPr>
              <w:spacing w:after="0"/>
              <w:rPr>
                <w:sz w:val="20"/>
                <w:szCs w:val="20"/>
                <w:color w:val="auto"/>
              </w:rPr>
            </w:pPr>
          </w:p>
        </w:tc>
        <w:tc>
          <w:tcPr>
            <w:tcW w:w="124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280" w:type="dxa"/>
            <w:vAlign w:val="bottom"/>
            <w:tcBorders>
              <w:top w:val="single" w:sz="8" w:color="231F20"/>
            </w:tcBorders>
            <w:shd w:val="clear" w:color="auto" w:fill="E6E7E8"/>
          </w:tcPr>
          <w:p>
            <w:pPr>
              <w:spacing w:after="0"/>
              <w:rPr>
                <w:sz w:val="20"/>
                <w:szCs w:val="20"/>
                <w:color w:val="auto"/>
              </w:rPr>
            </w:pPr>
          </w:p>
        </w:tc>
        <w:tc>
          <w:tcPr>
            <w:tcW w:w="900" w:type="dxa"/>
            <w:vAlign w:val="bottom"/>
            <w:tcBorders>
              <w:top w:val="single" w:sz="8" w:color="231F20"/>
            </w:tcBorders>
            <w:shd w:val="clear" w:color="auto" w:fill="E6E7E8"/>
          </w:tcPr>
          <w:p>
            <w:pPr>
              <w:spacing w:after="0"/>
              <w:rPr>
                <w:sz w:val="20"/>
                <w:szCs w:val="20"/>
                <w:color w:val="auto"/>
              </w:rPr>
            </w:pPr>
          </w:p>
        </w:tc>
        <w:tc>
          <w:tcPr>
            <w:tcW w:w="60" w:type="dxa"/>
            <w:vAlign w:val="bottom"/>
            <w:tcBorders>
              <w:top w:val="single" w:sz="8" w:color="231F20"/>
            </w:tcBorders>
            <w:shd w:val="clear" w:color="auto" w:fill="E6E7E8"/>
          </w:tcPr>
          <w:p>
            <w:pPr>
              <w:spacing w:after="0"/>
              <w:rPr>
                <w:sz w:val="20"/>
                <w:szCs w:val="20"/>
                <w:color w:val="auto"/>
              </w:rPr>
            </w:pPr>
          </w:p>
        </w:tc>
      </w:tr>
      <w:tr>
        <w:trPr>
          <w:trHeight w:val="244"/>
        </w:trPr>
        <w:tc>
          <w:tcPr>
            <w:tcW w:w="45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Basic</w:t>
            </w:r>
          </w:p>
        </w:tc>
        <w:tc>
          <w:tcPr>
            <w:tcW w:w="140" w:type="dxa"/>
            <w:vAlign w:val="bottom"/>
          </w:tcPr>
          <w:p>
            <w:pPr>
              <w:spacing w:after="0"/>
              <w:rPr>
                <w:sz w:val="21"/>
                <w:szCs w:val="21"/>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11,747</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11,613</w:t>
            </w:r>
          </w:p>
        </w:tc>
        <w:tc>
          <w:tcPr>
            <w:tcW w:w="60" w:type="dxa"/>
            <w:vAlign w:val="bottom"/>
          </w:tcPr>
          <w:p>
            <w:pPr>
              <w:spacing w:after="0"/>
              <w:rPr>
                <w:sz w:val="21"/>
                <w:szCs w:val="21"/>
                <w:color w:val="auto"/>
              </w:rPr>
            </w:pPr>
          </w:p>
        </w:tc>
      </w:tr>
      <w:tr>
        <w:trPr>
          <w:trHeight w:val="244"/>
        </w:trPr>
        <w:tc>
          <w:tcPr>
            <w:tcW w:w="45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Stock options and restricted share units</w:t>
            </w:r>
          </w:p>
        </w:tc>
        <w:tc>
          <w:tcPr>
            <w:tcW w:w="1380" w:type="dxa"/>
            <w:vAlign w:val="bottom"/>
            <w:gridSpan w:val="2"/>
            <w:shd w:val="clear" w:color="auto" w:fill="E6E7E8"/>
          </w:tcPr>
          <w:p>
            <w:pPr>
              <w:jc w:val="right"/>
              <w:ind w:right="7"/>
              <w:spacing w:after="0"/>
              <w:rPr>
                <w:sz w:val="20"/>
                <w:szCs w:val="20"/>
                <w:color w:val="auto"/>
              </w:rPr>
            </w:pPr>
            <w:r>
              <w:rPr>
                <w:rFonts w:ascii="Times New Roman" w:cs="Times New Roman" w:eastAsia="Times New Roman" w:hAnsi="Times New Roman"/>
                <w:sz w:val="20"/>
                <w:szCs w:val="20"/>
                <w:color w:val="231F20"/>
              </w:rPr>
              <w:t>203</w:t>
            </w:r>
          </w:p>
        </w:tc>
        <w:tc>
          <w:tcPr>
            <w:tcW w:w="1380" w:type="dxa"/>
            <w:vAlign w:val="bottom"/>
            <w:gridSpan w:val="2"/>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345</w:t>
            </w:r>
          </w:p>
        </w:tc>
        <w:tc>
          <w:tcPr>
            <w:tcW w:w="120" w:type="dxa"/>
            <w:vAlign w:val="bottom"/>
            <w:shd w:val="clear" w:color="auto" w:fill="E6E7E8"/>
          </w:tcPr>
          <w:p>
            <w:pPr>
              <w:spacing w:after="0"/>
              <w:rPr>
                <w:sz w:val="21"/>
                <w:szCs w:val="21"/>
                <w:color w:val="auto"/>
              </w:rPr>
            </w:pPr>
          </w:p>
        </w:tc>
        <w:tc>
          <w:tcPr>
            <w:tcW w:w="280" w:type="dxa"/>
            <w:vAlign w:val="bottom"/>
            <w:shd w:val="clear" w:color="auto" w:fill="E6E7E8"/>
          </w:tcPr>
          <w:p>
            <w:pPr>
              <w:spacing w:after="0"/>
              <w:rPr>
                <w:sz w:val="21"/>
                <w:szCs w:val="21"/>
                <w:color w:val="auto"/>
              </w:rPr>
            </w:pPr>
          </w:p>
        </w:tc>
        <w:tc>
          <w:tcPr>
            <w:tcW w:w="9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0</w:t>
            </w:r>
          </w:p>
        </w:tc>
        <w:tc>
          <w:tcPr>
            <w:tcW w:w="60" w:type="dxa"/>
            <w:vAlign w:val="bottom"/>
            <w:shd w:val="clear" w:color="auto" w:fill="E6E7E8"/>
          </w:tcPr>
          <w:p>
            <w:pPr>
              <w:spacing w:after="0"/>
              <w:rPr>
                <w:sz w:val="21"/>
                <w:szCs w:val="21"/>
                <w:color w:val="auto"/>
              </w:rPr>
            </w:pPr>
          </w:p>
        </w:tc>
      </w:tr>
      <w:tr>
        <w:trPr>
          <w:trHeight w:val="239"/>
        </w:trPr>
        <w:tc>
          <w:tcPr>
            <w:tcW w:w="45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140" w:type="dxa"/>
            <w:vAlign w:val="bottom"/>
          </w:tcPr>
          <w:p>
            <w:pPr>
              <w:spacing w:after="0"/>
              <w:rPr>
                <w:sz w:val="20"/>
                <w:szCs w:val="20"/>
                <w:color w:val="auto"/>
              </w:rPr>
            </w:pPr>
          </w:p>
        </w:tc>
        <w:tc>
          <w:tcPr>
            <w:tcW w:w="1240" w:type="dxa"/>
            <w:vAlign w:val="bottom"/>
            <w:tcBorders>
              <w:top w:val="single" w:sz="8" w:color="231F20"/>
              <w:bottom w:val="single" w:sz="8" w:color="231F20"/>
            </w:tcBorders>
          </w:tcPr>
          <w:p>
            <w:pPr>
              <w:jc w:val="right"/>
              <w:ind w:right="7"/>
              <w:spacing w:after="0"/>
              <w:rPr>
                <w:sz w:val="20"/>
                <w:szCs w:val="20"/>
                <w:color w:val="auto"/>
              </w:rPr>
            </w:pPr>
            <w:r>
              <w:rPr>
                <w:rFonts w:ascii="Times New Roman" w:cs="Times New Roman" w:eastAsia="Times New Roman" w:hAnsi="Times New Roman"/>
                <w:sz w:val="20"/>
                <w:szCs w:val="20"/>
                <w:color w:val="231F20"/>
              </w:rPr>
              <w:t>11,950</w:t>
            </w:r>
          </w:p>
        </w:tc>
        <w:tc>
          <w:tcPr>
            <w:tcW w:w="140" w:type="dxa"/>
            <w:vAlign w:val="bottom"/>
          </w:tcPr>
          <w:p>
            <w:pPr>
              <w:spacing w:after="0"/>
              <w:rPr>
                <w:sz w:val="20"/>
                <w:szCs w:val="20"/>
                <w:color w:val="auto"/>
              </w:rPr>
            </w:pPr>
          </w:p>
        </w:tc>
        <w:tc>
          <w:tcPr>
            <w:tcW w:w="12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12,014</w:t>
            </w:r>
          </w:p>
        </w:tc>
        <w:tc>
          <w:tcPr>
            <w:tcW w:w="120" w:type="dxa"/>
            <w:vAlign w:val="bottom"/>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11,613</w:t>
            </w:r>
          </w:p>
        </w:tc>
        <w:tc>
          <w:tcPr>
            <w:tcW w:w="60" w:type="dxa"/>
            <w:vAlign w:val="bottom"/>
            <w:tcBorders>
              <w:top w:val="single" w:sz="8" w:color="231F20"/>
              <w:bottom w:val="single" w:sz="8" w:color="231F20"/>
            </w:tcBorders>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-815975</wp:posOffset>
            </wp:positionV>
            <wp:extent cx="25285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extLst>
                        <a:ext uri="{28A0092B-C50C-407E-A947-70E740481C1C}"/>
                      </a:extLst>
                    </a:blip>
                    <a:srcRect/>
                    <a:stretch>
                      <a:fillRect/>
                    </a:stretch>
                  </pic:blipFill>
                  <pic:spPr bwMode="auto">
                    <a:xfrm>
                      <a:off x="0" y="0"/>
                      <a:ext cx="2528570" cy="38100"/>
                    </a:xfrm>
                    <a:prstGeom prst="rect">
                      <a:avLst/>
                    </a:prstGeom>
                    <a:noFill/>
                  </pic:spPr>
                </pic:pic>
              </a:graphicData>
            </a:graphic>
          </wp:anchor>
        </w:drawing>
      </w:r>
    </w:p>
    <w:p>
      <w:pPr>
        <w:sectPr>
          <w:pgSz w:w="11880" w:h="15480" w:orient="portrait"/>
          <w:cols w:equalWidth="0" w:num="1">
            <w:col w:w="10800"/>
          </w:cols>
          <w:pgMar w:left="540" w:top="102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800"/>
          </w:cols>
          <w:pgMar w:left="540" w:top="1026" w:right="540" w:bottom="0" w:gutter="0" w:footer="0" w:header="0"/>
          <w:type w:val="continuous"/>
        </w:sectPr>
      </w:pPr>
    </w:p>
    <w:bookmarkStart w:id="75" w:name="page76"/>
    <w:bookmarkEnd w:id="75"/>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the computation of basic EPS utilizing net income and the Company’s weighted-average common stock outstanding:</w:t>
      </w:r>
    </w:p>
    <w:p>
      <w:pPr>
        <w:spacing w:after="0" w:line="21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0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45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(Amounts in thousands, except per share data)</w:t>
            </w:r>
          </w:p>
        </w:tc>
        <w:tc>
          <w:tcPr>
            <w:tcW w:w="140" w:type="dxa"/>
            <w:vAlign w:val="bottom"/>
            <w:tcBorders>
              <w:bottom w:val="single" w:sz="8" w:color="E6E7E8"/>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6E7E8"/>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bottom w:val="single" w:sz="8" w:color="E6E7E8"/>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80" w:type="dxa"/>
            <w:vAlign w:val="bottom"/>
            <w:tcBorders>
              <w:bottom w:val="single" w:sz="8" w:color="231F20"/>
            </w:tcBorders>
          </w:tcPr>
          <w:p>
            <w:pPr>
              <w:spacing w:after="0"/>
              <w:rPr>
                <w:sz w:val="16"/>
                <w:szCs w:val="16"/>
                <w:color w:val="auto"/>
              </w:rPr>
            </w:pPr>
          </w:p>
        </w:tc>
      </w:tr>
      <w:tr>
        <w:trPr>
          <w:trHeight w:val="239"/>
        </w:trPr>
        <w:tc>
          <w:tcPr>
            <w:tcW w:w="45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income (loss)</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609</w:t>
            </w:r>
          </w:p>
        </w:tc>
        <w:tc>
          <w:tcPr>
            <w:tcW w:w="14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3,402</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(7,138)</w:t>
            </w:r>
          </w:p>
        </w:tc>
      </w:tr>
      <w:tr>
        <w:trPr>
          <w:trHeight w:val="244"/>
        </w:trPr>
        <w:tc>
          <w:tcPr>
            <w:tcW w:w="45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Basic weighted-average shares outstanding</w:t>
            </w:r>
          </w:p>
        </w:tc>
        <w:tc>
          <w:tcPr>
            <w:tcW w:w="14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11,747</w:t>
            </w:r>
          </w:p>
        </w:tc>
        <w:tc>
          <w:tcPr>
            <w:tcW w:w="140" w:type="dxa"/>
            <w:vAlign w:val="bottom"/>
            <w:tcBorders>
              <w:bottom w:val="single" w:sz="8" w:color="E6E7E8"/>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11,669</w:t>
            </w:r>
          </w:p>
        </w:tc>
        <w:tc>
          <w:tcPr>
            <w:tcW w:w="14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11,613</w:t>
            </w:r>
          </w:p>
        </w:tc>
        <w:tc>
          <w:tcPr>
            <w:tcW w:w="80" w:type="dxa"/>
            <w:vAlign w:val="bottom"/>
            <w:tcBorders>
              <w:bottom w:val="single" w:sz="8" w:color="231F20"/>
            </w:tcBorders>
          </w:tcPr>
          <w:p>
            <w:pPr>
              <w:spacing w:after="0"/>
              <w:rPr>
                <w:sz w:val="21"/>
                <w:szCs w:val="21"/>
                <w:color w:val="auto"/>
              </w:rPr>
            </w:pPr>
          </w:p>
        </w:tc>
      </w:tr>
      <w:tr>
        <w:trPr>
          <w:trHeight w:val="259"/>
        </w:trPr>
        <w:tc>
          <w:tcPr>
            <w:tcW w:w="452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Basic EPS</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0.05</w:t>
            </w:r>
          </w:p>
        </w:tc>
        <w:tc>
          <w:tcPr>
            <w:tcW w:w="140" w:type="dxa"/>
            <w:vAlign w:val="bottom"/>
            <w:tcBorders>
              <w:bottom w:val="single" w:sz="8" w:color="E6E7E8"/>
            </w:tcBorders>
            <w:shd w:val="clear" w:color="auto" w:fill="E6E7E8"/>
          </w:tcPr>
          <w:p>
            <w:pPr>
              <w:spacing w:after="0"/>
              <w:rPr>
                <w:sz w:val="22"/>
                <w:szCs w:val="22"/>
                <w:color w:val="auto"/>
              </w:rPr>
            </w:pPr>
          </w:p>
        </w:tc>
        <w:tc>
          <w:tcPr>
            <w:tcW w:w="240" w:type="dxa"/>
            <w:vAlign w:val="bottom"/>
            <w:tcBorders>
              <w:bottom w:val="single" w:sz="8" w:color="231F20"/>
            </w:tcBorders>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0.29</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(0.61)</w:t>
            </w: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-661035</wp:posOffset>
            </wp:positionV>
            <wp:extent cx="25152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extLst>
                        <a:ext uri="{28A0092B-C50C-407E-A947-70E740481C1C}"/>
                      </a:extLst>
                    </a:blip>
                    <a:srcRect/>
                    <a:stretch>
                      <a:fillRect/>
                    </a:stretch>
                  </pic:blipFill>
                  <pic:spPr bwMode="auto">
                    <a:xfrm>
                      <a:off x="0" y="0"/>
                      <a:ext cx="2515235" cy="38100"/>
                    </a:xfrm>
                    <a:prstGeom prst="rect">
                      <a:avLst/>
                    </a:prstGeom>
                    <a:noFill/>
                  </pic:spPr>
                </pic:pic>
              </a:graphicData>
            </a:graphic>
          </wp:anchor>
        </w:drawing>
      </w:r>
    </w:p>
    <w:p>
      <w:pPr>
        <w:spacing w:after="0" w:line="237"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31F20"/>
        </w:rPr>
        <w:t>The following table sets forth the computation of diluted EPS utilizing net income and the Company’s weighted-average common stock outstanding plus the weighted-average of stock options, restricted shares and performance shares, which had a diluted effect on EPS: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90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41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16"/>
                <w:szCs w:val="16"/>
                <w:b w:val="1"/>
                <w:bCs w:val="1"/>
                <w:color w:val="231F20"/>
              </w:rPr>
              <w:t>(Amounts in thousands, except per share data)</w:t>
            </w:r>
          </w:p>
        </w:tc>
        <w:tc>
          <w:tcPr>
            <w:tcW w:w="540" w:type="dxa"/>
            <w:vAlign w:val="bottom"/>
            <w:tcBorders>
              <w:bottom w:val="single" w:sz="8" w:color="E6E7E8"/>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6E7E8"/>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bottom w:val="single" w:sz="8" w:color="E6E7E8"/>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r>
      <w:tr>
        <w:trPr>
          <w:trHeight w:val="239"/>
        </w:trPr>
        <w:tc>
          <w:tcPr>
            <w:tcW w:w="4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income (loss)</w:t>
            </w:r>
          </w:p>
        </w:tc>
        <w:tc>
          <w:tcPr>
            <w:tcW w:w="54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609</w:t>
            </w:r>
          </w:p>
        </w:tc>
        <w:tc>
          <w:tcPr>
            <w:tcW w:w="140" w:type="dxa"/>
            <w:vAlign w:val="bottom"/>
            <w:shd w:val="clear" w:color="auto" w:fill="E6E7E8"/>
          </w:tcPr>
          <w:p>
            <w:pPr>
              <w:spacing w:after="0"/>
              <w:rPr>
                <w:sz w:val="20"/>
                <w:szCs w:val="20"/>
                <w:color w:val="auto"/>
              </w:rPr>
            </w:pPr>
          </w:p>
        </w:tc>
        <w:tc>
          <w:tcPr>
            <w:tcW w:w="240" w:type="dxa"/>
            <w:vAlign w:val="bottom"/>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3,402</w:t>
            </w:r>
          </w:p>
        </w:tc>
        <w:tc>
          <w:tcPr>
            <w:tcW w:w="140" w:type="dxa"/>
            <w:vAlign w:val="bottom"/>
            <w:shd w:val="clear" w:color="auto" w:fill="E6E7E8"/>
          </w:tcPr>
          <w:p>
            <w:pPr>
              <w:spacing w:after="0"/>
              <w:rPr>
                <w:sz w:val="20"/>
                <w:szCs w:val="20"/>
                <w:color w:val="auto"/>
              </w:rPr>
            </w:pPr>
          </w:p>
        </w:tc>
        <w:tc>
          <w:tcPr>
            <w:tcW w:w="260" w:type="dxa"/>
            <w:vAlign w:val="bottom"/>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(7,138)</w:t>
            </w:r>
          </w:p>
        </w:tc>
      </w:tr>
      <w:tr>
        <w:trPr>
          <w:trHeight w:val="244"/>
        </w:trPr>
        <w:tc>
          <w:tcPr>
            <w:tcW w:w="41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Diluted weighted-average shares outstanding</w:t>
            </w:r>
          </w:p>
        </w:tc>
        <w:tc>
          <w:tcPr>
            <w:tcW w:w="54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8"/>
              <w:spacing w:after="0"/>
              <w:rPr>
                <w:sz w:val="20"/>
                <w:szCs w:val="20"/>
                <w:color w:val="auto"/>
              </w:rPr>
            </w:pPr>
            <w:r>
              <w:rPr>
                <w:rFonts w:ascii="Times New Roman" w:cs="Times New Roman" w:eastAsia="Times New Roman" w:hAnsi="Times New Roman"/>
                <w:sz w:val="20"/>
                <w:szCs w:val="20"/>
                <w:color w:val="231F20"/>
              </w:rPr>
              <w:t>11,950</w:t>
            </w:r>
          </w:p>
        </w:tc>
        <w:tc>
          <w:tcPr>
            <w:tcW w:w="140" w:type="dxa"/>
            <w:vAlign w:val="bottom"/>
            <w:tcBorders>
              <w:bottom w:val="single" w:sz="8" w:color="E6E7E8"/>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12,014</w:t>
            </w:r>
          </w:p>
        </w:tc>
        <w:tc>
          <w:tcPr>
            <w:tcW w:w="140" w:type="dxa"/>
            <w:vAlign w:val="bottom"/>
            <w:tcBorders>
              <w:bottom w:val="single" w:sz="8" w:color="E6E7E8"/>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11,613</w:t>
            </w:r>
          </w:p>
        </w:tc>
        <w:tc>
          <w:tcPr>
            <w:tcW w:w="80" w:type="dxa"/>
            <w:vAlign w:val="bottom"/>
            <w:tcBorders>
              <w:bottom w:val="single" w:sz="8" w:color="231F20"/>
            </w:tcBorders>
          </w:tcPr>
          <w:p>
            <w:pPr>
              <w:spacing w:after="0"/>
              <w:rPr>
                <w:sz w:val="21"/>
                <w:szCs w:val="21"/>
                <w:color w:val="auto"/>
              </w:rPr>
            </w:pPr>
          </w:p>
        </w:tc>
      </w:tr>
      <w:tr>
        <w:trPr>
          <w:trHeight w:val="259"/>
        </w:trPr>
        <w:tc>
          <w:tcPr>
            <w:tcW w:w="412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Diluted EPS</w:t>
            </w:r>
          </w:p>
        </w:tc>
        <w:tc>
          <w:tcPr>
            <w:tcW w:w="5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6E7E8"/>
          </w:tcPr>
          <w:p>
            <w:pPr>
              <w:jc w:val="right"/>
              <w:ind w:right="8"/>
              <w:spacing w:after="0"/>
              <w:rPr>
                <w:sz w:val="20"/>
                <w:szCs w:val="20"/>
                <w:color w:val="auto"/>
              </w:rPr>
            </w:pPr>
            <w:r>
              <w:rPr>
                <w:rFonts w:ascii="Times New Roman" w:cs="Times New Roman" w:eastAsia="Times New Roman" w:hAnsi="Times New Roman"/>
                <w:sz w:val="20"/>
                <w:szCs w:val="20"/>
                <w:color w:val="231F20"/>
              </w:rPr>
              <w:t>0.05</w:t>
            </w:r>
          </w:p>
        </w:tc>
        <w:tc>
          <w:tcPr>
            <w:tcW w:w="140" w:type="dxa"/>
            <w:vAlign w:val="bottom"/>
            <w:tcBorders>
              <w:bottom w:val="single" w:sz="8" w:color="E6E7E8"/>
            </w:tcBorders>
            <w:shd w:val="clear" w:color="auto" w:fill="E6E7E8"/>
          </w:tcPr>
          <w:p>
            <w:pPr>
              <w:spacing w:after="0"/>
              <w:rPr>
                <w:sz w:val="22"/>
                <w:szCs w:val="22"/>
                <w:color w:val="auto"/>
              </w:rPr>
            </w:pPr>
          </w:p>
        </w:tc>
        <w:tc>
          <w:tcPr>
            <w:tcW w:w="240" w:type="dxa"/>
            <w:vAlign w:val="bottom"/>
            <w:tcBorders>
              <w:bottom w:val="single" w:sz="8" w:color="231F20"/>
            </w:tcBorders>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6E7E8"/>
          </w:tcPr>
          <w:p>
            <w:pPr>
              <w:jc w:val="right"/>
              <w:ind w:right="5"/>
              <w:spacing w:after="0"/>
              <w:rPr>
                <w:sz w:val="20"/>
                <w:szCs w:val="20"/>
                <w:color w:val="auto"/>
              </w:rPr>
            </w:pPr>
            <w:r>
              <w:rPr>
                <w:rFonts w:ascii="Times New Roman" w:cs="Times New Roman" w:eastAsia="Times New Roman" w:hAnsi="Times New Roman"/>
                <w:sz w:val="20"/>
                <w:szCs w:val="20"/>
                <w:color w:val="231F20"/>
              </w:rPr>
              <w:t>0.28</w:t>
            </w:r>
          </w:p>
        </w:tc>
        <w:tc>
          <w:tcPr>
            <w:tcW w:w="140" w:type="dxa"/>
            <w:vAlign w:val="bottom"/>
            <w:tcBorders>
              <w:bottom w:val="single" w:sz="8" w:color="E6E7E8"/>
            </w:tcBorders>
            <w:shd w:val="clear" w:color="auto" w:fill="E6E7E8"/>
          </w:tcPr>
          <w:p>
            <w:pPr>
              <w:spacing w:after="0"/>
              <w:rPr>
                <w:sz w:val="22"/>
                <w:szCs w:val="22"/>
                <w:color w:val="auto"/>
              </w:rPr>
            </w:pPr>
          </w:p>
        </w:tc>
        <w:tc>
          <w:tcPr>
            <w:tcW w:w="260" w:type="dxa"/>
            <w:vAlign w:val="bottom"/>
            <w:tcBorders>
              <w:bottom w:val="single" w:sz="8" w:color="231F20"/>
            </w:tcBorders>
            <w:shd w:val="clear" w:color="auto" w:fill="E6E7E8"/>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gridSpan w:val="2"/>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rPr>
              <w:t>(0.61)</w:t>
            </w:r>
          </w:p>
        </w:tc>
      </w:tr>
      <w:tr>
        <w:trPr>
          <w:trHeight w:val="20"/>
        </w:trPr>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-661035</wp:posOffset>
            </wp:positionV>
            <wp:extent cx="25152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a:extLst>
                        <a:ext uri="{28A0092B-C50C-407E-A947-70E740481C1C}"/>
                      </a:extLst>
                    </a:blip>
                    <a:srcRect/>
                    <a:stretch>
                      <a:fillRect/>
                    </a:stretch>
                  </pic:blipFill>
                  <pic:spPr bwMode="auto">
                    <a:xfrm>
                      <a:off x="0" y="0"/>
                      <a:ext cx="2515235" cy="38100"/>
                    </a:xfrm>
                    <a:prstGeom prst="rect">
                      <a:avLst/>
                    </a:prstGeom>
                    <a:noFill/>
                  </pic:spPr>
                </pic:pic>
              </a:graphicData>
            </a:graphic>
          </wp:anchor>
        </w:drawing>
      </w:r>
    </w:p>
    <w:p>
      <w:pPr>
        <w:spacing w:after="0" w:line="353" w:lineRule="exact"/>
        <w:rPr>
          <w:sz w:val="20"/>
          <w:szCs w:val="20"/>
          <w:color w:val="auto"/>
        </w:rPr>
      </w:pPr>
    </w:p>
    <w:p>
      <w:pPr>
        <w:ind w:left="480" w:hanging="480"/>
        <w:spacing w:after="0"/>
        <w:tabs>
          <w:tab w:leader="none" w:pos="480" w:val="left"/>
        </w:tabs>
        <w:numPr>
          <w:ilvl w:val="0"/>
          <w:numId w:val="3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Other Comprehensive Income (Loss)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The changes in accumulated other comprehensive income (loss) for the years ended December 31, 2025, 2024 and 2023 were as follows:</w:t>
      </w:r>
    </w:p>
    <w:p>
      <w:pPr>
        <w:spacing w:after="0" w:line="219"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rPr>
              <w:t>Foreign</w:t>
            </w:r>
          </w:p>
        </w:tc>
      </w:tr>
      <w:tr>
        <w:trPr>
          <w:trHeight w:val="18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rPr>
              <w:t>Currency</w:t>
            </w:r>
          </w:p>
        </w:tc>
      </w:tr>
      <w:tr>
        <w:trPr>
          <w:trHeight w:val="18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231F20"/>
                <w:w w:val="99"/>
              </w:rPr>
              <w:t>Translation</w:t>
            </w:r>
          </w:p>
        </w:tc>
      </w:tr>
      <w:tr>
        <w:trPr>
          <w:trHeight w:val="203"/>
        </w:trPr>
        <w:tc>
          <w:tcPr>
            <w:tcW w:w="51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(in thousands)</w:t>
            </w:r>
          </w:p>
        </w:tc>
        <w:tc>
          <w:tcPr>
            <w:tcW w:w="120" w:type="dxa"/>
            <w:vAlign w:val="bottom"/>
            <w:tcBorders>
              <w:bottom w:val="single" w:sz="8" w:color="E6E7E8"/>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231F20"/>
                <w:w w:val="98"/>
              </w:rPr>
              <w:t>Adjustments</w:t>
            </w:r>
          </w:p>
        </w:tc>
      </w:tr>
      <w:tr>
        <w:trPr>
          <w:trHeight w:val="239"/>
        </w:trPr>
        <w:tc>
          <w:tcPr>
            <w:tcW w:w="5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Balance at December 31, 2022</w:t>
            </w:r>
          </w:p>
        </w:tc>
        <w:tc>
          <w:tcPr>
            <w:tcW w:w="120" w:type="dxa"/>
            <w:vAlign w:val="bottom"/>
            <w:shd w:val="clear" w:color="auto" w:fill="E6E7E8"/>
          </w:tcPr>
          <w:p>
            <w:pPr>
              <w:spacing w:after="0"/>
              <w:rPr>
                <w:sz w:val="20"/>
                <w:szCs w:val="20"/>
                <w:color w:val="auto"/>
              </w:rPr>
            </w:pP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(1,555)</w:t>
            </w:r>
          </w:p>
        </w:tc>
      </w:tr>
      <w:tr>
        <w:trPr>
          <w:trHeight w:val="244"/>
        </w:trPr>
        <w:tc>
          <w:tcPr>
            <w:tcW w:w="51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(Loss) arising during the period</w:t>
            </w:r>
          </w:p>
        </w:tc>
        <w:tc>
          <w:tcPr>
            <w:tcW w:w="120" w:type="dxa"/>
            <w:vAlign w:val="bottom"/>
            <w:tcBorders>
              <w:bottom w:val="single" w:sz="8" w:color="E6E7E8"/>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59"/>
        </w:trPr>
        <w:tc>
          <w:tcPr>
            <w:tcW w:w="512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other comprehensive income (loss) — year 2023</w:t>
            </w:r>
          </w:p>
        </w:tc>
        <w:tc>
          <w:tcPr>
            <w:tcW w:w="120" w:type="dxa"/>
            <w:vAlign w:val="bottom"/>
            <w:tcBorders>
              <w:bottom w:val="single" w:sz="8" w:color="E6E7E8"/>
            </w:tcBorders>
            <w:shd w:val="clear" w:color="auto" w:fill="E6E7E8"/>
          </w:tcPr>
          <w:p>
            <w:pPr>
              <w:spacing w:after="0"/>
              <w:rPr>
                <w:sz w:val="22"/>
                <w:szCs w:val="22"/>
                <w:color w:val="auto"/>
              </w:rPr>
            </w:pPr>
          </w:p>
        </w:tc>
        <w:tc>
          <w:tcPr>
            <w:tcW w:w="120" w:type="dxa"/>
            <w:vAlign w:val="bottom"/>
            <w:tcBorders>
              <w:bottom w:val="single" w:sz="8" w:color="231F20"/>
            </w:tcBorders>
            <w:shd w:val="clear" w:color="auto" w:fill="E6E7E8"/>
          </w:tcPr>
          <w:p>
            <w:pPr>
              <w:spacing w:after="0"/>
              <w:rPr>
                <w:sz w:val="22"/>
                <w:szCs w:val="22"/>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19"/>
        </w:trPr>
        <w:tc>
          <w:tcPr>
            <w:tcW w:w="5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Balance at December 31, 2023</w:t>
            </w:r>
          </w:p>
        </w:tc>
        <w:tc>
          <w:tcPr>
            <w:tcW w:w="12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1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(1,644)</w:t>
            </w:r>
          </w:p>
        </w:tc>
      </w:tr>
      <w:tr>
        <w:trPr>
          <w:trHeight w:val="264"/>
        </w:trPr>
        <w:tc>
          <w:tcPr>
            <w:tcW w:w="512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(Loss) arising during the period</w:t>
            </w:r>
          </w:p>
        </w:tc>
        <w:tc>
          <w:tcPr>
            <w:tcW w:w="120" w:type="dxa"/>
            <w:vAlign w:val="bottom"/>
            <w:tcBorders>
              <w:bottom w:val="single" w:sz="8" w:color="E6E7E8"/>
            </w:tcBorders>
            <w:shd w:val="clear" w:color="auto" w:fill="E6E7E8"/>
          </w:tcPr>
          <w:p>
            <w:pPr>
              <w:spacing w:after="0"/>
              <w:rPr>
                <w:sz w:val="22"/>
                <w:szCs w:val="22"/>
                <w:color w:val="auto"/>
              </w:rPr>
            </w:pPr>
          </w:p>
        </w:tc>
        <w:tc>
          <w:tcPr>
            <w:tcW w:w="120" w:type="dxa"/>
            <w:vAlign w:val="bottom"/>
            <w:tcBorders>
              <w:bottom w:val="single" w:sz="8" w:color="231F20"/>
            </w:tcBorders>
            <w:shd w:val="clear" w:color="auto" w:fill="E6E7E8"/>
          </w:tcPr>
          <w:p>
            <w:pPr>
              <w:spacing w:after="0"/>
              <w:rPr>
                <w:sz w:val="22"/>
                <w:szCs w:val="22"/>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(266)</w:t>
            </w:r>
          </w:p>
        </w:tc>
      </w:tr>
      <w:tr>
        <w:trPr>
          <w:trHeight w:val="219"/>
        </w:trPr>
        <w:tc>
          <w:tcPr>
            <w:tcW w:w="5120" w:type="dxa"/>
            <w:vAlign w:val="bottom"/>
            <w:tcBorders>
              <w:bottom w:val="single" w:sz="8" w:color="E6E7E8"/>
            </w:tcBorders>
          </w:tcPr>
          <w:p>
            <w:pPr>
              <w:spacing w:after="0" w:line="219" w:lineRule="exact"/>
              <w:rPr>
                <w:sz w:val="20"/>
                <w:szCs w:val="20"/>
                <w:color w:val="auto"/>
              </w:rPr>
            </w:pPr>
            <w:r>
              <w:rPr>
                <w:rFonts w:ascii="Times New Roman" w:cs="Times New Roman" w:eastAsia="Times New Roman" w:hAnsi="Times New Roman"/>
                <w:sz w:val="20"/>
                <w:szCs w:val="20"/>
                <w:color w:val="231F20"/>
              </w:rPr>
              <w:t>Net other comprehensive income (loss) — year 2024</w:t>
            </w:r>
          </w:p>
        </w:tc>
        <w:tc>
          <w:tcPr>
            <w:tcW w:w="120" w:type="dxa"/>
            <w:vAlign w:val="bottom"/>
            <w:tcBorders>
              <w:bottom w:val="single" w:sz="8" w:color="E6E7E8"/>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(266)</w:t>
            </w:r>
          </w:p>
        </w:tc>
      </w:tr>
      <w:tr>
        <w:trPr>
          <w:trHeight w:val="239"/>
        </w:trPr>
        <w:tc>
          <w:tcPr>
            <w:tcW w:w="51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120" w:type="dxa"/>
            <w:vAlign w:val="bottom"/>
            <w:shd w:val="clear" w:color="auto" w:fill="E6E7E8"/>
          </w:tcPr>
          <w:p>
            <w:pPr>
              <w:spacing w:after="0"/>
              <w:rPr>
                <w:sz w:val="20"/>
                <w:szCs w:val="20"/>
                <w:color w:val="auto"/>
              </w:rPr>
            </w:pPr>
          </w:p>
        </w:tc>
        <w:tc>
          <w:tcPr>
            <w:tcW w:w="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w w:val="79"/>
              </w:rPr>
              <w:t>$</w:t>
            </w:r>
          </w:p>
        </w:tc>
        <w:tc>
          <w:tcPr>
            <w:tcW w:w="11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b w:val="1"/>
                <w:bCs w:val="1"/>
                <w:color w:val="231F20"/>
              </w:rPr>
              <w:t>(1,910)</w:t>
            </w:r>
          </w:p>
        </w:tc>
      </w:tr>
      <w:tr>
        <w:trPr>
          <w:trHeight w:val="244"/>
        </w:trPr>
        <w:tc>
          <w:tcPr>
            <w:tcW w:w="5120" w:type="dxa"/>
            <w:vAlign w:val="bottom"/>
            <w:tcBorders>
              <w:bottom w:val="single" w:sz="8" w:color="E6E7E8"/>
            </w:tcBorders>
          </w:tcPr>
          <w:p>
            <w:pPr>
              <w:spacing w:after="0"/>
              <w:rPr>
                <w:sz w:val="20"/>
                <w:szCs w:val="20"/>
                <w:color w:val="auto"/>
              </w:rPr>
            </w:pPr>
            <w:r>
              <w:rPr>
                <w:rFonts w:ascii="Times New Roman" w:cs="Times New Roman" w:eastAsia="Times New Roman" w:hAnsi="Times New Roman"/>
                <w:sz w:val="20"/>
                <w:szCs w:val="20"/>
                <w:color w:val="231F20"/>
              </w:rPr>
              <w:t>(Loss) arising during the period</w:t>
            </w:r>
          </w:p>
        </w:tc>
        <w:tc>
          <w:tcPr>
            <w:tcW w:w="120" w:type="dxa"/>
            <w:vAlign w:val="bottom"/>
            <w:tcBorders>
              <w:bottom w:val="single" w:sz="8" w:color="E6E7E8"/>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(730)</w:t>
            </w:r>
          </w:p>
        </w:tc>
      </w:tr>
      <w:tr>
        <w:trPr>
          <w:trHeight w:val="259"/>
        </w:trPr>
        <w:tc>
          <w:tcPr>
            <w:tcW w:w="5120" w:type="dxa"/>
            <w:vAlign w:val="bottom"/>
            <w:tcBorders>
              <w:bottom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color w:val="231F20"/>
              </w:rPr>
              <w:t>Net other comprehensive income (loss) — year 2025</w:t>
            </w:r>
          </w:p>
        </w:tc>
        <w:tc>
          <w:tcPr>
            <w:tcW w:w="120" w:type="dxa"/>
            <w:vAlign w:val="bottom"/>
            <w:tcBorders>
              <w:bottom w:val="single" w:sz="8" w:color="E6E7E8"/>
            </w:tcBorders>
            <w:shd w:val="clear" w:color="auto" w:fill="E6E7E8"/>
          </w:tcPr>
          <w:p>
            <w:pPr>
              <w:spacing w:after="0"/>
              <w:rPr>
                <w:sz w:val="22"/>
                <w:szCs w:val="22"/>
                <w:color w:val="auto"/>
              </w:rPr>
            </w:pPr>
          </w:p>
        </w:tc>
        <w:tc>
          <w:tcPr>
            <w:tcW w:w="120" w:type="dxa"/>
            <w:vAlign w:val="bottom"/>
            <w:tcBorders>
              <w:bottom w:val="single" w:sz="8" w:color="231F20"/>
            </w:tcBorders>
            <w:shd w:val="clear" w:color="auto" w:fill="E6E7E8"/>
          </w:tcPr>
          <w:p>
            <w:pPr>
              <w:spacing w:after="0"/>
              <w:rPr>
                <w:sz w:val="22"/>
                <w:szCs w:val="22"/>
                <w:color w:val="auto"/>
              </w:rPr>
            </w:pPr>
          </w:p>
        </w:tc>
        <w:tc>
          <w:tcPr>
            <w:tcW w:w="112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(730)</w:t>
            </w:r>
          </w:p>
        </w:tc>
      </w:tr>
      <w:tr>
        <w:trPr>
          <w:trHeight w:val="219"/>
        </w:trPr>
        <w:tc>
          <w:tcPr>
            <w:tcW w:w="5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Balance at December 31, 2025</w:t>
            </w:r>
          </w:p>
        </w:tc>
        <w:tc>
          <w:tcPr>
            <w:tcW w:w="12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w w:val="79"/>
              </w:rPr>
              <w:t>$</w:t>
            </w:r>
          </w:p>
        </w:tc>
        <w:tc>
          <w:tcPr>
            <w:tcW w:w="1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231F20"/>
              </w:rPr>
              <w:t>(2,640)</w:t>
            </w: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r>
    </w:tbl>
    <w:p>
      <w:pPr>
        <w:spacing w:after="0" w:line="25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net income (loss).</w:t>
      </w:r>
    </w:p>
    <w:p>
      <w:pPr>
        <w:spacing w:after="0" w:line="327" w:lineRule="exact"/>
        <w:rPr>
          <w:sz w:val="20"/>
          <w:szCs w:val="20"/>
          <w:color w:val="auto"/>
        </w:rPr>
      </w:pPr>
    </w:p>
    <w:p>
      <w:pPr>
        <w:ind w:left="480" w:hanging="480"/>
        <w:spacing w:after="0"/>
        <w:tabs>
          <w:tab w:leader="none" w:pos="480" w:val="left"/>
        </w:tabs>
        <w:numPr>
          <w:ilvl w:val="0"/>
          <w:numId w:val="38"/>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Fair Value Measurements</w:t>
      </w:r>
    </w:p>
    <w:p>
      <w:pPr>
        <w:spacing w:after="0" w:line="124"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31F20"/>
        </w:rPr>
        <w:t>The Company has adopted the provisions of ASC 820, “</w:t>
      </w:r>
      <w:r>
        <w:rPr>
          <w:rFonts w:ascii="Times New Roman" w:cs="Times New Roman" w:eastAsia="Times New Roman" w:hAnsi="Times New Roman"/>
          <w:sz w:val="20"/>
          <w:szCs w:val="20"/>
          <w:i w:val="1"/>
          <w:iCs w:val="1"/>
          <w:color w:val="231F20"/>
        </w:rPr>
        <w:t>Fair Value Measurements and Disclosures</w:t>
      </w:r>
      <w:r>
        <w:rPr>
          <w:rFonts w:ascii="Times New Roman" w:cs="Times New Roman" w:eastAsia="Times New Roman" w:hAnsi="Times New Roman"/>
          <w:sz w:val="20"/>
          <w:szCs w:val="20"/>
          <w:color w:val="231F20"/>
        </w:rPr>
        <w:t>”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8" w:lineRule="exact"/>
        <w:rPr>
          <w:sz w:val="20"/>
          <w:szCs w:val="20"/>
          <w:color w:val="auto"/>
        </w:rPr>
      </w:pPr>
    </w:p>
    <w:p>
      <w:pPr>
        <w:ind w:left="840" w:hanging="350"/>
        <w:spacing w:after="0"/>
        <w:tabs>
          <w:tab w:leader="none" w:pos="84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1 — Inputs are observable quoted prices (unadjusted) in active markets for identical assets and liabilities.</w:t>
      </w:r>
    </w:p>
    <w:p>
      <w:pPr>
        <w:spacing w:after="0" w:line="133" w:lineRule="exact"/>
        <w:rPr>
          <w:rFonts w:ascii="Arial" w:cs="Arial" w:eastAsia="Arial" w:hAnsi="Arial"/>
          <w:sz w:val="20"/>
          <w:szCs w:val="20"/>
          <w:color w:val="231F20"/>
        </w:rPr>
      </w:pPr>
    </w:p>
    <w:p>
      <w:pPr>
        <w:ind w:left="840" w:hanging="350"/>
        <w:spacing w:after="0" w:line="258" w:lineRule="auto"/>
        <w:tabs>
          <w:tab w:leader="none" w:pos="84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2 — 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1" w:lineRule="exact"/>
        <w:rPr>
          <w:rFonts w:ascii="Arial" w:cs="Arial" w:eastAsia="Arial" w:hAnsi="Arial"/>
          <w:sz w:val="20"/>
          <w:szCs w:val="20"/>
          <w:color w:val="231F20"/>
        </w:rPr>
      </w:pPr>
    </w:p>
    <w:p>
      <w:pPr>
        <w:ind w:left="840" w:hanging="350"/>
        <w:spacing w:after="0"/>
        <w:tabs>
          <w:tab w:leader="none" w:pos="84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color w:val="231F20"/>
        </w:rPr>
        <w:t>Level 3 — Inputs are unobservable that are supported by little or no market activity.</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780"/>
          </w:cols>
          <w:pgMar w:left="540" w:top="750" w:right="560" w:bottom="0" w:gutter="0" w:footer="0" w:header="0"/>
          <w:type w:val="continuous"/>
        </w:sectPr>
      </w:pPr>
    </w:p>
    <w:bookmarkStart w:id="76" w:name="page77"/>
    <w:bookmarkEnd w:id="76"/>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The carrying value of cash and cash equivalents, net accounts receivable, accounts payable and accrued expenses approximates fair value because of their short-term nature. The Company's outstanding debt was repaid on January 3, 2023 and therefore, its carrying value also approximates fair value.</w:t>
      </w:r>
    </w:p>
    <w:p>
      <w:pPr>
        <w:spacing w:after="0" w:line="188"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carrying value of goodwill was calculated using a discounted cash flow model utilizing unobservable inputs, which requires management to develop its own assumptions in pricing the asset. At December 31, 2023, the Company carried the following financial assets (liabilities) at fair value measured on a non-recurring basis (in thousands):</w:t>
      </w:r>
    </w:p>
    <w:p>
      <w:pPr>
        <w:spacing w:after="0" w:line="285"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(Amounts in thousands)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231F20"/>
                <w:w w:val="99"/>
              </w:rPr>
              <w:t>Fair Value as of December 31,</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560" w:type="dxa"/>
            <w:vAlign w:val="bottom"/>
            <w:gridSpan w:val="4"/>
          </w:tcPr>
          <w:p>
            <w:pPr>
              <w:jc w:val="right"/>
              <w:ind w:right="735"/>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Level</w:t>
            </w:r>
          </w:p>
        </w:tc>
        <w:tc>
          <w:tcPr>
            <w:tcW w:w="5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231F20"/>
              </w:rPr>
              <w:t>Total</w:t>
            </w:r>
          </w:p>
        </w:tc>
        <w:tc>
          <w:tcPr>
            <w:tcW w:w="0" w:type="dxa"/>
            <w:vAlign w:val="bottom"/>
          </w:tcPr>
          <w:p>
            <w:pPr>
              <w:spacing w:after="0"/>
              <w:rPr>
                <w:sz w:val="1"/>
                <w:szCs w:val="1"/>
                <w:color w:val="auto"/>
              </w:rPr>
            </w:pPr>
          </w:p>
        </w:tc>
      </w:tr>
      <w:tr>
        <w:trPr>
          <w:trHeight w:val="239"/>
        </w:trPr>
        <w:tc>
          <w:tcPr>
            <w:tcW w:w="39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Goodwill</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bottom w:val="single" w:sz="8" w:color="231F20"/>
            </w:tcBorders>
          </w:tcPr>
          <w:p>
            <w:pPr>
              <w:jc w:val="right"/>
              <w:ind w:right="1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00" w:type="dxa"/>
            <w:vAlign w:val="bottom"/>
            <w:tcBorders>
              <w:top w:val="single" w:sz="8" w:color="231F20"/>
              <w:bottom w:val="single" w:sz="8" w:color="231F20"/>
            </w:tcBorders>
          </w:tcPr>
          <w:p>
            <w:pPr>
              <w:jc w:val="right"/>
              <w:ind w:right="13"/>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00" w:type="dxa"/>
            <w:vAlign w:val="bottom"/>
            <w:tcBorders>
              <w:top w:val="single" w:sz="8" w:color="231F20"/>
              <w:bottom w:val="single" w:sz="8" w:color="231F20"/>
            </w:tcBorders>
          </w:tcPr>
          <w:p>
            <w:pPr>
              <w:jc w:val="right"/>
              <w:ind w:right="35"/>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top w:val="single" w:sz="8" w:color="231F20"/>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27,210</w:t>
            </w:r>
          </w:p>
        </w:tc>
        <w:tc>
          <w:tcPr>
            <w:tcW w:w="1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240" w:type="dxa"/>
            <w:vAlign w:val="bottom"/>
            <w:tcBorders>
              <w:top w:val="single" w:sz="8" w:color="231F20"/>
              <w:bottom w:val="single" w:sz="8" w:color="231F20"/>
            </w:tcBorders>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27,210</w:t>
            </w:r>
          </w:p>
        </w:tc>
        <w:tc>
          <w:tcPr>
            <w:tcW w:w="60" w:type="dxa"/>
            <w:vAlign w:val="bottom"/>
            <w:tcBorders>
              <w:top w:val="single" w:sz="8" w:color="231F20"/>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-371475</wp:posOffset>
            </wp:positionV>
            <wp:extent cx="355282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a:extLst>
                        <a:ext uri="{28A0092B-C50C-407E-A947-70E740481C1C}"/>
                      </a:extLst>
                    </a:blip>
                    <a:srcRect/>
                    <a:stretch>
                      <a:fillRect/>
                    </a:stretch>
                  </pic:blipFill>
                  <pic:spPr bwMode="auto">
                    <a:xfrm>
                      <a:off x="0" y="0"/>
                      <a:ext cx="3552825" cy="38100"/>
                    </a:xfrm>
                    <a:prstGeom prst="rect">
                      <a:avLst/>
                    </a:prstGeom>
                    <a:noFill/>
                  </pic:spPr>
                </pic:pic>
              </a:graphicData>
            </a:graphic>
          </wp:anchor>
        </w:drawing>
      </w:r>
    </w:p>
    <w:p>
      <w:pPr>
        <w:spacing w:after="0" w:line="237"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231F20"/>
        </w:rPr>
        <w:t>During the year ended December 31, 2023, the Company recorded a goodwill impairment related to its Data and Analytics Services segment of $5.3 million.</w:t>
      </w:r>
    </w:p>
    <w:p>
      <w:pPr>
        <w:spacing w:after="0" w:line="285" w:lineRule="exact"/>
        <w:rPr>
          <w:sz w:val="20"/>
          <w:szCs w:val="20"/>
          <w:color w:val="auto"/>
        </w:rPr>
      </w:pPr>
    </w:p>
    <w:p>
      <w:pPr>
        <w:ind w:left="480" w:hanging="480"/>
        <w:spacing w:after="0"/>
        <w:tabs>
          <w:tab w:leader="none" w:pos="480" w:val="left"/>
        </w:tabs>
        <w:numPr>
          <w:ilvl w:val="0"/>
          <w:numId w:val="4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Business Segments and Geographic Information</w:t>
      </w:r>
    </w:p>
    <w:p>
      <w:pPr>
        <w:spacing w:after="0" w:line="124" w:lineRule="exact"/>
        <w:rPr>
          <w:rFonts w:ascii="Times New Roman" w:cs="Times New Roman" w:eastAsia="Times New Roman" w:hAnsi="Times New Roman"/>
          <w:sz w:val="20"/>
          <w:szCs w:val="20"/>
          <w:b w:val="1"/>
          <w:bCs w:val="1"/>
          <w:color w:val="231F20"/>
        </w:rPr>
      </w:pPr>
    </w:p>
    <w:p>
      <w:pPr>
        <w:ind w:left="50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Our reporting segments are: 1) Data and Analytics Services; and 2) IT Staffing Services.</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expands our capabilities in customer experience strategy and managed services offering for a variety of Cloud-based enterprise application across sales, marketing and customer service organizations.</w:t>
      </w:r>
    </w:p>
    <w:p>
      <w:pPr>
        <w:spacing w:after="0" w:line="20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learning services on a fixed price basis.</w:t>
      </w:r>
    </w:p>
    <w:p>
      <w:pPr>
        <w:spacing w:after="0" w:line="19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Beginning in the 2026 fiscal year, the Company plans to revise its segment structure to align with changes in how the Chief Operating Decision Maker (“CODM”) will be evaluating operating performance and allocating resources. These changes are driven by the Company’s operating strategy, which aligns the organization around account-centric management, industry-focused leadership, and an integrated approach to Talent and Services offerings.</w:t>
      </w:r>
    </w:p>
    <w:p>
      <w:pPr>
        <w:spacing w:after="0" w:line="19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Under the revised structure, the Company intends to transition from its current reportable segments of Data and Analytics and IT Staffing Services to the newly formed Talent and Services segments. The revised segment structure is expected to be effective for external reporting beginning in the 2026 fiscal year pending finalization of the Company’s analysis under ASC 280. Any changes to the Company’s segment reporting in future periods will include recasting prior period segment information in accordance with ASC 280.</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800"/>
          </w:cols>
          <w:pgMar w:left="540" w:top="750" w:right="5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color w:val="231F20"/>
        </w:rPr>
        <w:t>Below are the operating results of our reporting segments:</w:t>
      </w: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6"/>
          </w:tcPr>
          <w:p>
            <w:pPr>
              <w:jc w:val="center"/>
              <w:ind w:left="442"/>
              <w:spacing w:after="0"/>
              <w:rPr>
                <w:sz w:val="20"/>
                <w:szCs w:val="20"/>
                <w:color w:val="auto"/>
              </w:rPr>
            </w:pPr>
            <w:r>
              <w:rPr>
                <w:rFonts w:ascii="Times New Roman" w:cs="Times New Roman" w:eastAsia="Times New Roman" w:hAnsi="Times New Roman"/>
                <w:sz w:val="16"/>
                <w:szCs w:val="16"/>
                <w:b w:val="1"/>
                <w:bCs w:val="1"/>
                <w:color w:val="231F20"/>
              </w:rPr>
              <w:t>Years Ended December 31,</w:t>
            </w:r>
          </w:p>
        </w:tc>
        <w:tc>
          <w:tcPr>
            <w:tcW w:w="76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r>
      <w:tr>
        <w:trPr>
          <w:trHeight w:val="193"/>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jc w:val="center"/>
              <w:ind w:right="341"/>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2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200" w:type="dxa"/>
            <w:vAlign w:val="bottom"/>
            <w:tcBorders>
              <w:bottom w:val="single" w:sz="8" w:color="231F20"/>
            </w:tcBorders>
          </w:tcPr>
          <w:p>
            <w:pPr>
              <w:spacing w:after="0"/>
              <w:rPr>
                <w:sz w:val="16"/>
                <w:szCs w:val="16"/>
                <w:color w:val="auto"/>
              </w:rPr>
            </w:pPr>
          </w:p>
        </w:tc>
      </w:tr>
      <w:tr>
        <w:trPr>
          <w:trHeight w:val="193"/>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6"/>
          </w:tcPr>
          <w:p>
            <w:pPr>
              <w:jc w:val="center"/>
              <w:ind w:left="422"/>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4"/>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Revenues:</w:t>
            </w:r>
          </w:p>
        </w:tc>
        <w:tc>
          <w:tcPr>
            <w:tcW w:w="2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33,275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36,625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34,358</w:t>
            </w:r>
          </w:p>
        </w:tc>
        <w:tc>
          <w:tcPr>
            <w:tcW w:w="200" w:type="dxa"/>
            <w:vAlign w:val="bottom"/>
          </w:tcPr>
          <w:p>
            <w:pPr>
              <w:spacing w:after="0"/>
              <w:rPr>
                <w:sz w:val="21"/>
                <w:szCs w:val="21"/>
                <w:color w:val="auto"/>
              </w:rPr>
            </w:pP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E6E7E8"/>
            </w:tcBorders>
            <w:shd w:val="clear" w:color="auto" w:fill="E6E7E8"/>
          </w:tcPr>
          <w:p>
            <w:pPr>
              <w:spacing w:after="0"/>
              <w:rPr>
                <w:sz w:val="22"/>
                <w:szCs w:val="22"/>
                <w:color w:val="auto"/>
              </w:rPr>
            </w:pPr>
          </w:p>
        </w:tc>
        <w:tc>
          <w:tcPr>
            <w:tcW w:w="960" w:type="dxa"/>
            <w:vAlign w:val="bottom"/>
            <w:tcBorders>
              <w:bottom w:val="single" w:sz="8" w:color="E6E7E8"/>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158,096</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E6E7E8"/>
            </w:tcBorders>
            <w:shd w:val="clear" w:color="auto" w:fill="E6E7E8"/>
          </w:tcPr>
          <w:p>
            <w:pPr>
              <w:spacing w:after="0"/>
              <w:rPr>
                <w:sz w:val="22"/>
                <w:szCs w:val="22"/>
                <w:color w:val="auto"/>
              </w:rPr>
            </w:pPr>
          </w:p>
        </w:tc>
        <w:tc>
          <w:tcPr>
            <w:tcW w:w="960" w:type="dxa"/>
            <w:vAlign w:val="bottom"/>
            <w:tcBorders>
              <w:bottom w:val="single" w:sz="8" w:color="E6E7E8"/>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162,318</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166,740</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revenues</w:t>
            </w:r>
          </w:p>
        </w:tc>
        <w:tc>
          <w:tcPr>
            <w:tcW w:w="20" w:type="dxa"/>
            <w:vAlign w:val="bottom"/>
          </w:tcPr>
          <w:p>
            <w:pPr>
              <w:spacing w:after="0"/>
              <w:rPr>
                <w:sz w:val="22"/>
                <w:szCs w:val="22"/>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191,371</w:t>
            </w:r>
          </w:p>
        </w:tc>
        <w:tc>
          <w:tcPr>
            <w:tcW w:w="120" w:type="dxa"/>
            <w:vAlign w:val="bottom"/>
            <w:tcBorders>
              <w:bottom w:val="single" w:sz="8" w:color="E6E7E8"/>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198,943</w:t>
            </w:r>
          </w:p>
        </w:tc>
        <w:tc>
          <w:tcPr>
            <w:tcW w:w="120" w:type="dxa"/>
            <w:vAlign w:val="bottom"/>
            <w:tcBorders>
              <w:bottom w:val="single" w:sz="8" w:color="E6E7E8"/>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201,098</w:t>
            </w:r>
          </w:p>
        </w:tc>
        <w:tc>
          <w:tcPr>
            <w:tcW w:w="200" w:type="dxa"/>
            <w:vAlign w:val="bottom"/>
            <w:tcBorders>
              <w:top w:val="single" w:sz="8" w:color="231F20"/>
              <w:bottom w:val="single" w:sz="8" w:color="231F20"/>
            </w:tcBorders>
          </w:tcPr>
          <w:p>
            <w:pPr>
              <w:spacing w:after="0"/>
              <w:rPr>
                <w:sz w:val="22"/>
                <w:szCs w:val="22"/>
                <w:color w:val="auto"/>
              </w:rPr>
            </w:pP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Cost of Revenues:</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17,913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18,660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19,411</w:t>
            </w:r>
          </w:p>
        </w:tc>
        <w:tc>
          <w:tcPr>
            <w:tcW w:w="200" w:type="dxa"/>
            <w:vAlign w:val="bottom"/>
          </w:tcPr>
          <w:p>
            <w:pPr>
              <w:spacing w:after="0"/>
              <w:rPr>
                <w:sz w:val="21"/>
                <w:szCs w:val="21"/>
                <w:color w:val="auto"/>
              </w:rPr>
            </w:pP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E6E7E8"/>
            </w:tcBorders>
            <w:shd w:val="clear" w:color="auto" w:fill="E6E7E8"/>
          </w:tcPr>
          <w:p>
            <w:pPr>
              <w:spacing w:after="0"/>
              <w:rPr>
                <w:sz w:val="22"/>
                <w:szCs w:val="22"/>
                <w:color w:val="auto"/>
              </w:rPr>
            </w:pPr>
          </w:p>
        </w:tc>
        <w:tc>
          <w:tcPr>
            <w:tcW w:w="960" w:type="dxa"/>
            <w:vAlign w:val="bottom"/>
            <w:tcBorders>
              <w:bottom w:val="single" w:sz="8" w:color="E6E7E8"/>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120,149</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E6E7E8"/>
            </w:tcBorders>
            <w:shd w:val="clear" w:color="auto" w:fill="E6E7E8"/>
          </w:tcPr>
          <w:p>
            <w:pPr>
              <w:spacing w:after="0"/>
              <w:rPr>
                <w:sz w:val="22"/>
                <w:szCs w:val="22"/>
                <w:color w:val="auto"/>
              </w:rPr>
            </w:pPr>
          </w:p>
        </w:tc>
        <w:tc>
          <w:tcPr>
            <w:tcW w:w="960" w:type="dxa"/>
            <w:vAlign w:val="bottom"/>
            <w:tcBorders>
              <w:bottom w:val="single" w:sz="8" w:color="E6E7E8"/>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124,686</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130,651</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cost of revenues</w:t>
            </w:r>
          </w:p>
        </w:tc>
        <w:tc>
          <w:tcPr>
            <w:tcW w:w="20" w:type="dxa"/>
            <w:vAlign w:val="bottom"/>
          </w:tcPr>
          <w:p>
            <w:pPr>
              <w:spacing w:after="0"/>
              <w:rPr>
                <w:sz w:val="22"/>
                <w:szCs w:val="22"/>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138,062</w:t>
            </w:r>
          </w:p>
        </w:tc>
        <w:tc>
          <w:tcPr>
            <w:tcW w:w="120" w:type="dxa"/>
            <w:vAlign w:val="bottom"/>
            <w:tcBorders>
              <w:bottom w:val="single" w:sz="8" w:color="E6E7E8"/>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143,346</w:t>
            </w:r>
          </w:p>
        </w:tc>
        <w:tc>
          <w:tcPr>
            <w:tcW w:w="120" w:type="dxa"/>
            <w:vAlign w:val="bottom"/>
            <w:tcBorders>
              <w:bottom w:val="single" w:sz="8" w:color="E6E7E8"/>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150,062</w:t>
            </w:r>
          </w:p>
        </w:tc>
        <w:tc>
          <w:tcPr>
            <w:tcW w:w="200" w:type="dxa"/>
            <w:vAlign w:val="bottom"/>
            <w:tcBorders>
              <w:top w:val="single" w:sz="8" w:color="231F20"/>
              <w:bottom w:val="single" w:sz="8" w:color="231F20"/>
            </w:tcBorders>
          </w:tcPr>
          <w:p>
            <w:pPr>
              <w:spacing w:after="0"/>
              <w:rPr>
                <w:sz w:val="22"/>
                <w:szCs w:val="22"/>
                <w:color w:val="auto"/>
              </w:rPr>
            </w:pP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Gross Profit:</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15,362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17,965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14,947</w:t>
            </w:r>
          </w:p>
        </w:tc>
        <w:tc>
          <w:tcPr>
            <w:tcW w:w="200" w:type="dxa"/>
            <w:vAlign w:val="bottom"/>
          </w:tcPr>
          <w:p>
            <w:pPr>
              <w:spacing w:after="0"/>
              <w:rPr>
                <w:sz w:val="21"/>
                <w:szCs w:val="21"/>
                <w:color w:val="auto"/>
              </w:rPr>
            </w:pP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E6E7E8"/>
            </w:tcBorders>
            <w:shd w:val="clear" w:color="auto" w:fill="E6E7E8"/>
          </w:tcPr>
          <w:p>
            <w:pPr>
              <w:spacing w:after="0"/>
              <w:rPr>
                <w:sz w:val="22"/>
                <w:szCs w:val="22"/>
                <w:color w:val="auto"/>
              </w:rPr>
            </w:pPr>
          </w:p>
        </w:tc>
        <w:tc>
          <w:tcPr>
            <w:tcW w:w="960" w:type="dxa"/>
            <w:vAlign w:val="bottom"/>
            <w:tcBorders>
              <w:bottom w:val="single" w:sz="8" w:color="E6E7E8"/>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37,947</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E6E7E8"/>
            </w:tcBorders>
            <w:shd w:val="clear" w:color="auto" w:fill="E6E7E8"/>
          </w:tcPr>
          <w:p>
            <w:pPr>
              <w:spacing w:after="0"/>
              <w:rPr>
                <w:sz w:val="22"/>
                <w:szCs w:val="22"/>
                <w:color w:val="auto"/>
              </w:rPr>
            </w:pPr>
          </w:p>
        </w:tc>
        <w:tc>
          <w:tcPr>
            <w:tcW w:w="960" w:type="dxa"/>
            <w:vAlign w:val="bottom"/>
            <w:tcBorders>
              <w:bottom w:val="single" w:sz="8" w:color="E6E7E8"/>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37,632</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36,089</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gross profit</w:t>
            </w:r>
          </w:p>
        </w:tc>
        <w:tc>
          <w:tcPr>
            <w:tcW w:w="20" w:type="dxa"/>
            <w:vAlign w:val="bottom"/>
          </w:tcPr>
          <w:p>
            <w:pPr>
              <w:spacing w:after="0"/>
              <w:rPr>
                <w:sz w:val="22"/>
                <w:szCs w:val="22"/>
                <w:color w:val="auto"/>
              </w:rPr>
            </w:pPr>
          </w:p>
        </w:tc>
        <w:tc>
          <w:tcPr>
            <w:tcW w:w="180" w:type="dxa"/>
            <w:vAlign w:val="bottom"/>
            <w:tcBorders>
              <w:top w:val="single" w:sz="8" w:color="231F20"/>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53,309</w:t>
            </w:r>
          </w:p>
        </w:tc>
        <w:tc>
          <w:tcPr>
            <w:tcW w:w="120" w:type="dxa"/>
            <w:vAlign w:val="bottom"/>
            <w:tcBorders>
              <w:bottom w:val="single" w:sz="8" w:color="E6E7E8"/>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55,597</w:t>
            </w:r>
          </w:p>
        </w:tc>
        <w:tc>
          <w:tcPr>
            <w:tcW w:w="120" w:type="dxa"/>
            <w:vAlign w:val="bottom"/>
            <w:tcBorders>
              <w:bottom w:val="single" w:sz="8" w:color="E6E7E8"/>
            </w:tcBorders>
          </w:tcPr>
          <w:p>
            <w:pPr>
              <w:spacing w:after="0"/>
              <w:rPr>
                <w:sz w:val="22"/>
                <w:szCs w:val="22"/>
                <w:color w:val="auto"/>
              </w:rPr>
            </w:pP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51,036</w:t>
            </w:r>
          </w:p>
        </w:tc>
        <w:tc>
          <w:tcPr>
            <w:tcW w:w="200" w:type="dxa"/>
            <w:vAlign w:val="bottom"/>
            <w:tcBorders>
              <w:top w:val="single" w:sz="8" w:color="231F20"/>
              <w:bottom w:val="single" w:sz="8" w:color="231F20"/>
            </w:tcBorders>
          </w:tcPr>
          <w:p>
            <w:pPr>
              <w:spacing w:after="0"/>
              <w:rPr>
                <w:sz w:val="22"/>
                <w:szCs w:val="22"/>
                <w:color w:val="auto"/>
              </w:rPr>
            </w:pP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Gross Margin %:</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43.5%</w:t>
            </w: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23.2%</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gridSpan w:val="2"/>
            <w:shd w:val="clear" w:color="auto" w:fill="E6E7E8"/>
          </w:tcPr>
          <w:p>
            <w:pPr>
              <w:jc w:val="right"/>
              <w:ind w:right="40"/>
              <w:spacing w:after="0"/>
              <w:rPr>
                <w:sz w:val="20"/>
                <w:szCs w:val="20"/>
                <w:color w:val="auto"/>
              </w:rPr>
            </w:pPr>
            <w:r>
              <w:rPr>
                <w:rFonts w:ascii="Times New Roman" w:cs="Times New Roman" w:eastAsia="Times New Roman" w:hAnsi="Times New Roman"/>
                <w:sz w:val="20"/>
                <w:szCs w:val="20"/>
                <w:color w:val="231F20"/>
              </w:rPr>
              <w:t>21.6%</w:t>
            </w: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19"/>
                <w:szCs w:val="19"/>
                <w:color w:val="231F20"/>
              </w:rPr>
              <w:t xml:space="preserve">Total gross margin % </w:t>
            </w:r>
            <w:r>
              <w:rPr>
                <w:rFonts w:ascii="Times New Roman" w:cs="Times New Roman" w:eastAsia="Times New Roman" w:hAnsi="Times New Roman"/>
                <w:sz w:val="25"/>
                <w:szCs w:val="25"/>
                <w:color w:val="231F20"/>
                <w:vertAlign w:val="superscript"/>
              </w:rPr>
              <w:t>(1)</w:t>
            </w:r>
          </w:p>
        </w:tc>
        <w:tc>
          <w:tcPr>
            <w:tcW w:w="2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27.9%</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27.9%</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231F20"/>
              </w:rPr>
              <w:t>25.4%</w:t>
            </w: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Sales &amp; Marketing Expenses:</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6,804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7,333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6,511</w:t>
            </w:r>
          </w:p>
        </w:tc>
        <w:tc>
          <w:tcPr>
            <w:tcW w:w="200" w:type="dxa"/>
            <w:vAlign w:val="bottom"/>
          </w:tcPr>
          <w:p>
            <w:pPr>
              <w:spacing w:after="0"/>
              <w:rPr>
                <w:sz w:val="21"/>
                <w:szCs w:val="21"/>
                <w:color w:val="auto"/>
              </w:rPr>
            </w:pP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7,429</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9,100</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8,335</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sales &amp; marketing expenses</w:t>
            </w:r>
          </w:p>
        </w:tc>
        <w:tc>
          <w:tcPr>
            <w:tcW w:w="20" w:type="dxa"/>
            <w:vAlign w:val="bottom"/>
          </w:tcPr>
          <w:p>
            <w:pPr>
              <w:spacing w:after="0"/>
              <w:rPr>
                <w:sz w:val="22"/>
                <w:szCs w:val="22"/>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14,233</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16,433</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14,846</w:t>
            </w:r>
          </w:p>
        </w:tc>
        <w:tc>
          <w:tcPr>
            <w:tcW w:w="200" w:type="dxa"/>
            <w:vAlign w:val="bottom"/>
            <w:tcBorders>
              <w:bottom w:val="single" w:sz="8" w:color="231F20"/>
            </w:tcBorders>
          </w:tcPr>
          <w:p>
            <w:pPr>
              <w:spacing w:after="0"/>
              <w:rPr>
                <w:sz w:val="22"/>
                <w:szCs w:val="22"/>
                <w:color w:val="auto"/>
              </w:rPr>
            </w:pP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Operations Expenses:</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590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685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1,297</w:t>
            </w:r>
          </w:p>
        </w:tc>
        <w:tc>
          <w:tcPr>
            <w:tcW w:w="200" w:type="dxa"/>
            <w:vAlign w:val="bottom"/>
          </w:tcPr>
          <w:p>
            <w:pPr>
              <w:spacing w:after="0"/>
              <w:rPr>
                <w:sz w:val="21"/>
                <w:szCs w:val="21"/>
                <w:color w:val="auto"/>
              </w:rPr>
            </w:pP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6,974</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8,742</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8,596</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operations expenses</w:t>
            </w:r>
          </w:p>
        </w:tc>
        <w:tc>
          <w:tcPr>
            <w:tcW w:w="20" w:type="dxa"/>
            <w:vAlign w:val="bottom"/>
          </w:tcPr>
          <w:p>
            <w:pPr>
              <w:spacing w:after="0"/>
              <w:rPr>
                <w:sz w:val="22"/>
                <w:szCs w:val="22"/>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7,564</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9,427</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9,893</w:t>
            </w:r>
          </w:p>
        </w:tc>
        <w:tc>
          <w:tcPr>
            <w:tcW w:w="200" w:type="dxa"/>
            <w:vAlign w:val="bottom"/>
            <w:tcBorders>
              <w:bottom w:val="single" w:sz="8" w:color="231F20"/>
            </w:tcBorders>
          </w:tcPr>
          <w:p>
            <w:pPr>
              <w:spacing w:after="0"/>
              <w:rPr>
                <w:sz w:val="22"/>
                <w:szCs w:val="22"/>
                <w:color w:val="auto"/>
              </w:rPr>
            </w:pP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General &amp; Administrative Expenses:</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8,189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6,703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8,946</w:t>
            </w:r>
          </w:p>
        </w:tc>
        <w:tc>
          <w:tcPr>
            <w:tcW w:w="200" w:type="dxa"/>
            <w:vAlign w:val="bottom"/>
          </w:tcPr>
          <w:p>
            <w:pPr>
              <w:spacing w:after="0"/>
              <w:rPr>
                <w:sz w:val="21"/>
                <w:szCs w:val="21"/>
                <w:color w:val="auto"/>
              </w:rPr>
            </w:pP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15,750</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14,467</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13,104</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59"/>
        </w:trPr>
        <w:tc>
          <w:tcPr>
            <w:tcW w:w="4920" w:type="dxa"/>
            <w:vAlign w:val="bottom"/>
            <w:tcBorders>
              <w:bottom w:val="single" w:sz="8" w:color="E6E7E8"/>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general &amp; administrative expenses</w:t>
            </w:r>
          </w:p>
        </w:tc>
        <w:tc>
          <w:tcPr>
            <w:tcW w:w="20" w:type="dxa"/>
            <w:vAlign w:val="bottom"/>
          </w:tcPr>
          <w:p>
            <w:pPr>
              <w:spacing w:after="0"/>
              <w:rPr>
                <w:sz w:val="22"/>
                <w:szCs w:val="22"/>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23,939</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21,170</w:t>
            </w:r>
          </w:p>
        </w:tc>
        <w:tc>
          <w:tcPr>
            <w:tcW w:w="120" w:type="dxa"/>
            <w:vAlign w:val="bottom"/>
            <w:tcBorders>
              <w:bottom w:val="single" w:sz="8" w:color="E6E7E8"/>
            </w:tcBorders>
          </w:tcPr>
          <w:p>
            <w:pPr>
              <w:spacing w:after="0"/>
              <w:rPr>
                <w:sz w:val="22"/>
                <w:szCs w:val="22"/>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22,050</w:t>
            </w:r>
          </w:p>
        </w:tc>
        <w:tc>
          <w:tcPr>
            <w:tcW w:w="200" w:type="dxa"/>
            <w:vAlign w:val="bottom"/>
            <w:tcBorders>
              <w:bottom w:val="single" w:sz="8" w:color="231F20"/>
            </w:tcBorders>
          </w:tcPr>
          <w:p>
            <w:pPr>
              <w:spacing w:after="0"/>
              <w:rPr>
                <w:sz w:val="22"/>
                <w:szCs w:val="22"/>
                <w:color w:val="auto"/>
              </w:rPr>
            </w:pPr>
          </w:p>
        </w:tc>
      </w:tr>
      <w:tr>
        <w:trPr>
          <w:trHeight w:val="229"/>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Segment operating income (loss):</w:t>
            </w:r>
          </w:p>
        </w:tc>
        <w:tc>
          <w:tcPr>
            <w:tcW w:w="20" w:type="dxa"/>
            <w:vAlign w:val="bottom"/>
          </w:tcPr>
          <w:p>
            <w:pPr>
              <w:spacing w:after="0"/>
              <w:rPr>
                <w:sz w:val="19"/>
                <w:szCs w:val="19"/>
                <w:color w:val="auto"/>
              </w:rPr>
            </w:pPr>
          </w:p>
        </w:tc>
        <w:tc>
          <w:tcPr>
            <w:tcW w:w="18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960" w:type="dxa"/>
            <w:vAlign w:val="bottom"/>
            <w:shd w:val="clear" w:color="auto" w:fill="E6E7E8"/>
          </w:tcPr>
          <w:p>
            <w:pPr>
              <w:spacing w:after="0"/>
              <w:rPr>
                <w:sz w:val="19"/>
                <w:szCs w:val="19"/>
                <w:color w:val="auto"/>
              </w:rPr>
            </w:pPr>
          </w:p>
        </w:tc>
        <w:tc>
          <w:tcPr>
            <w:tcW w:w="12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Data and Analytics Services</w:t>
            </w:r>
          </w:p>
        </w:tc>
        <w:tc>
          <w:tcPr>
            <w:tcW w:w="2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3,244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(1,807)</w:t>
            </w: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IT Staffing Services</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7,794</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5,323</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6,054</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19"/>
        </w:trPr>
        <w:tc>
          <w:tcPr>
            <w:tcW w:w="492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231F20"/>
              </w:rPr>
              <w:t>Subtotal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7,573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8,567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4,247</w:t>
            </w:r>
          </w:p>
        </w:tc>
        <w:tc>
          <w:tcPr>
            <w:tcW w:w="200" w:type="dxa"/>
            <w:vAlign w:val="bottom"/>
          </w:tcPr>
          <w:p>
            <w:pPr>
              <w:spacing w:after="0"/>
              <w:rPr>
                <w:sz w:val="19"/>
                <w:szCs w:val="19"/>
                <w:color w:val="auto"/>
              </w:rPr>
            </w:pPr>
          </w:p>
        </w:tc>
      </w:tr>
      <w:tr>
        <w:trPr>
          <w:trHeight w:val="244"/>
        </w:trPr>
        <w:tc>
          <w:tcPr>
            <w:tcW w:w="492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Unallocated Costs:</w:t>
            </w:r>
          </w:p>
        </w:tc>
        <w:tc>
          <w:tcPr>
            <w:tcW w:w="2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76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 of acquired intangible assets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(2,553)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231F20"/>
              </w:rPr>
              <w:t>(2,693)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(2,772)</w:t>
            </w:r>
          </w:p>
        </w:tc>
      </w:tr>
      <w:tr>
        <w:trPr>
          <w:trHeight w:val="244"/>
        </w:trPr>
        <w:tc>
          <w:tcPr>
            <w:tcW w:w="49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Goodwill impairment</w:t>
            </w:r>
          </w:p>
        </w:tc>
        <w:tc>
          <w:tcPr>
            <w:tcW w:w="2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960" w:type="dxa"/>
            <w:vAlign w:val="bottom"/>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(5,300)</w:t>
            </w: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Employment-related claim, net of recoveries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(3,100)</w:t>
            </w:r>
          </w:p>
        </w:tc>
      </w:tr>
      <w:tr>
        <w:trPr>
          <w:trHeight w:val="244"/>
        </w:trPr>
        <w:tc>
          <w:tcPr>
            <w:tcW w:w="4920" w:type="dxa"/>
            <w:vAlign w:val="bottom"/>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Severance expense</w:t>
            </w:r>
          </w:p>
        </w:tc>
        <w:tc>
          <w:tcPr>
            <w:tcW w:w="20" w:type="dxa"/>
            <w:vAlign w:val="bottom"/>
            <w:shd w:val="clear" w:color="auto" w:fill="E6E7E8"/>
          </w:tcPr>
          <w:p>
            <w:pPr>
              <w:spacing w:after="0"/>
              <w:rPr>
                <w:sz w:val="21"/>
                <w:szCs w:val="21"/>
                <w:color w:val="auto"/>
              </w:rPr>
            </w:pPr>
          </w:p>
        </w:tc>
        <w:tc>
          <w:tcPr>
            <w:tcW w:w="180" w:type="dxa"/>
            <w:vAlign w:val="bottom"/>
            <w:shd w:val="clear" w:color="auto" w:fill="E6E7E8"/>
          </w:tcPr>
          <w:p>
            <w:pPr>
              <w:spacing w:after="0"/>
              <w:rPr>
                <w:sz w:val="21"/>
                <w:szCs w:val="21"/>
                <w:color w:val="auto"/>
              </w:rPr>
            </w:pPr>
          </w:p>
        </w:tc>
        <w:tc>
          <w:tcPr>
            <w:tcW w:w="960" w:type="dxa"/>
            <w:vAlign w:val="bottom"/>
            <w:shd w:val="clear" w:color="auto" w:fill="E6E7E8"/>
          </w:tcPr>
          <w:p>
            <w:pPr>
              <w:jc w:val="right"/>
              <w:ind w:right="42"/>
              <w:spacing w:after="0"/>
              <w:rPr>
                <w:sz w:val="20"/>
                <w:szCs w:val="20"/>
                <w:color w:val="auto"/>
              </w:rPr>
            </w:pPr>
            <w:r>
              <w:rPr>
                <w:rFonts w:ascii="Times New Roman" w:cs="Times New Roman" w:eastAsia="Times New Roman" w:hAnsi="Times New Roman"/>
                <w:sz w:val="20"/>
                <w:szCs w:val="20"/>
                <w:color w:val="231F20"/>
              </w:rPr>
              <w:t>(3,095)</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shd w:val="clear" w:color="auto" w:fill="E6E7E8"/>
          </w:tcPr>
          <w:p>
            <w:pPr>
              <w:jc w:val="right"/>
              <w:ind w:right="41"/>
              <w:spacing w:after="0"/>
              <w:rPr>
                <w:sz w:val="20"/>
                <w:szCs w:val="20"/>
                <w:color w:val="auto"/>
              </w:rPr>
            </w:pPr>
            <w:r>
              <w:rPr>
                <w:rFonts w:ascii="Times New Roman" w:cs="Times New Roman" w:eastAsia="Times New Roman" w:hAnsi="Times New Roman"/>
                <w:sz w:val="20"/>
                <w:szCs w:val="20"/>
                <w:color w:val="231F20"/>
              </w:rPr>
              <w:t>(2,083)</w:t>
            </w:r>
          </w:p>
        </w:tc>
        <w:tc>
          <w:tcPr>
            <w:tcW w:w="120" w:type="dxa"/>
            <w:vAlign w:val="bottom"/>
            <w:shd w:val="clear" w:color="auto" w:fill="E6E7E8"/>
          </w:tcPr>
          <w:p>
            <w:pPr>
              <w:spacing w:after="0"/>
              <w:rPr>
                <w:sz w:val="21"/>
                <w:szCs w:val="21"/>
                <w:color w:val="auto"/>
              </w:rPr>
            </w:pPr>
          </w:p>
        </w:tc>
        <w:tc>
          <w:tcPr>
            <w:tcW w:w="200" w:type="dxa"/>
            <w:vAlign w:val="bottom"/>
            <w:shd w:val="clear" w:color="auto" w:fill="E6E7E8"/>
          </w:tcPr>
          <w:p>
            <w:pPr>
              <w:spacing w:after="0"/>
              <w:rPr>
                <w:sz w:val="21"/>
                <w:szCs w:val="21"/>
                <w:color w:val="auto"/>
              </w:rPr>
            </w:pPr>
          </w:p>
        </w:tc>
        <w:tc>
          <w:tcPr>
            <w:tcW w:w="960" w:type="dxa"/>
            <w:vAlign w:val="bottom"/>
            <w:gridSpan w:val="2"/>
            <w:shd w:val="clear" w:color="auto" w:fill="E6E7E8"/>
          </w:tcPr>
          <w:p>
            <w:pPr>
              <w:jc w:val="right"/>
              <w:ind w:right="140"/>
              <w:spacing w:after="0"/>
              <w:rPr>
                <w:sz w:val="20"/>
                <w:szCs w:val="20"/>
                <w:color w:val="auto"/>
              </w:rPr>
            </w:pPr>
            <w:r>
              <w:rPr>
                <w:rFonts w:ascii="Times New Roman" w:cs="Times New Roman" w:eastAsia="Times New Roman" w:hAnsi="Times New Roman"/>
                <w:sz w:val="20"/>
                <w:szCs w:val="20"/>
                <w:color w:val="231F20"/>
              </w:rPr>
              <w:t>(2,350)</w:t>
            </w:r>
          </w:p>
        </w:tc>
      </w:tr>
      <w:tr>
        <w:trPr>
          <w:trHeight w:val="244"/>
        </w:trPr>
        <w:tc>
          <w:tcPr>
            <w:tcW w:w="4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Finance and accounting transition expense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(1,924)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4920" w:type="dxa"/>
            <w:vAlign w:val="bottom"/>
            <w:tcBorders>
              <w:bottom w:val="single" w:sz="8" w:color="E6E7E8"/>
            </w:tcBorders>
            <w:shd w:val="clear" w:color="auto" w:fill="E6E7E8"/>
          </w:tcPr>
          <w:p>
            <w:pPr>
              <w:ind w:left="200"/>
              <w:spacing w:after="0"/>
              <w:rPr>
                <w:sz w:val="20"/>
                <w:szCs w:val="20"/>
                <w:color w:val="auto"/>
              </w:rPr>
            </w:pPr>
            <w:r>
              <w:rPr>
                <w:rFonts w:ascii="Times New Roman" w:cs="Times New Roman" w:eastAsia="Times New Roman" w:hAnsi="Times New Roman"/>
                <w:sz w:val="20"/>
                <w:szCs w:val="20"/>
                <w:color w:val="231F20"/>
              </w:rPr>
              <w:t>Interest income, FX gains/losses and other, net</w:t>
            </w:r>
          </w:p>
        </w:tc>
        <w:tc>
          <w:tcPr>
            <w:tcW w:w="20" w:type="dxa"/>
            <w:vAlign w:val="bottom"/>
            <w:tcBorders>
              <w:bottom w:val="single" w:sz="8" w:color="E6E7E8"/>
            </w:tcBorders>
            <w:shd w:val="clear" w:color="auto" w:fill="E6E7E8"/>
          </w:tcPr>
          <w:p>
            <w:pPr>
              <w:spacing w:after="0"/>
              <w:rPr>
                <w:sz w:val="22"/>
                <w:szCs w:val="22"/>
                <w:color w:val="auto"/>
              </w:rPr>
            </w:pPr>
          </w:p>
        </w:tc>
        <w:tc>
          <w:tcPr>
            <w:tcW w:w="18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2"/>
              <w:spacing w:after="0"/>
              <w:rPr>
                <w:sz w:val="20"/>
                <w:szCs w:val="20"/>
                <w:color w:val="auto"/>
              </w:rPr>
            </w:pPr>
            <w:r>
              <w:rPr>
                <w:rFonts w:ascii="Times New Roman" w:cs="Times New Roman" w:eastAsia="Times New Roman" w:hAnsi="Times New Roman"/>
                <w:sz w:val="20"/>
                <w:szCs w:val="20"/>
                <w:color w:val="231F20"/>
              </w:rPr>
              <w:t>1,061</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960" w:type="dxa"/>
            <w:vAlign w:val="bottom"/>
            <w:tcBorders>
              <w:bottom w:val="single" w:sz="8" w:color="231F20"/>
            </w:tcBorders>
            <w:shd w:val="clear" w:color="auto" w:fill="E6E7E8"/>
          </w:tcPr>
          <w:p>
            <w:pPr>
              <w:jc w:val="right"/>
              <w:ind w:right="121"/>
              <w:spacing w:after="0"/>
              <w:rPr>
                <w:sz w:val="20"/>
                <w:szCs w:val="20"/>
                <w:color w:val="auto"/>
              </w:rPr>
            </w:pPr>
            <w:r>
              <w:rPr>
                <w:rFonts w:ascii="Times New Roman" w:cs="Times New Roman" w:eastAsia="Times New Roman" w:hAnsi="Times New Roman"/>
                <w:sz w:val="20"/>
                <w:szCs w:val="20"/>
                <w:color w:val="231F20"/>
              </w:rPr>
              <w:t>633</w:t>
            </w:r>
          </w:p>
        </w:tc>
        <w:tc>
          <w:tcPr>
            <w:tcW w:w="120" w:type="dxa"/>
            <w:vAlign w:val="bottom"/>
            <w:tcBorders>
              <w:bottom w:val="single" w:sz="8" w:color="E6E7E8"/>
            </w:tcBorders>
            <w:shd w:val="clear" w:color="auto" w:fill="E6E7E8"/>
          </w:tcPr>
          <w:p>
            <w:pPr>
              <w:spacing w:after="0"/>
              <w:rPr>
                <w:sz w:val="22"/>
                <w:szCs w:val="22"/>
                <w:color w:val="auto"/>
              </w:rPr>
            </w:pPr>
          </w:p>
        </w:tc>
        <w:tc>
          <w:tcPr>
            <w:tcW w:w="200" w:type="dxa"/>
            <w:vAlign w:val="bottom"/>
            <w:tcBorders>
              <w:bottom w:val="single" w:sz="8" w:color="231F20"/>
            </w:tcBorders>
            <w:shd w:val="clear" w:color="auto" w:fill="E6E7E8"/>
          </w:tcPr>
          <w:p>
            <w:pPr>
              <w:spacing w:after="0"/>
              <w:rPr>
                <w:sz w:val="22"/>
                <w:szCs w:val="22"/>
                <w:color w:val="auto"/>
              </w:rPr>
            </w:pPr>
          </w:p>
        </w:tc>
        <w:tc>
          <w:tcPr>
            <w:tcW w:w="760" w:type="dxa"/>
            <w:vAlign w:val="bottom"/>
            <w:tcBorders>
              <w:bottom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244</w:t>
            </w:r>
          </w:p>
        </w:tc>
        <w:tc>
          <w:tcPr>
            <w:tcW w:w="200" w:type="dxa"/>
            <w:vAlign w:val="bottom"/>
            <w:tcBorders>
              <w:bottom w:val="single" w:sz="8" w:color="231F20"/>
            </w:tcBorders>
            <w:shd w:val="clear" w:color="auto" w:fill="E6E7E8"/>
          </w:tcPr>
          <w:p>
            <w:pPr>
              <w:spacing w:after="0"/>
              <w:rPr>
                <w:sz w:val="22"/>
                <w:szCs w:val="22"/>
                <w:color w:val="auto"/>
              </w:rPr>
            </w:pPr>
          </w:p>
        </w:tc>
      </w:tr>
      <w:tr>
        <w:trPr>
          <w:trHeight w:val="219"/>
        </w:trPr>
        <w:tc>
          <w:tcPr>
            <w:tcW w:w="492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231F20"/>
              </w:rPr>
              <w:t>Income (loss) before income taxes</w:t>
            </w:r>
          </w:p>
        </w:tc>
        <w:tc>
          <w:tcPr>
            <w:tcW w:w="20" w:type="dxa"/>
            <w:vAlign w:val="bottom"/>
          </w:tcPr>
          <w:p>
            <w:pPr>
              <w:spacing w:after="0"/>
              <w:rPr>
                <w:sz w:val="19"/>
                <w:szCs w:val="19"/>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ind w:right="122"/>
              <w:spacing w:after="0" w:line="219" w:lineRule="exact"/>
              <w:rPr>
                <w:sz w:val="20"/>
                <w:szCs w:val="20"/>
                <w:color w:val="auto"/>
              </w:rPr>
            </w:pPr>
            <w:r>
              <w:rPr>
                <w:rFonts w:ascii="Times New Roman" w:cs="Times New Roman" w:eastAsia="Times New Roman" w:hAnsi="Times New Roman"/>
                <w:sz w:val="20"/>
                <w:szCs w:val="20"/>
                <w:color w:val="231F20"/>
              </w:rPr>
              <w:t>1,062</w:t>
            </w:r>
          </w:p>
        </w:tc>
        <w:tc>
          <w:tcPr>
            <w:tcW w:w="120" w:type="dxa"/>
            <w:vAlign w:val="bottom"/>
          </w:tcPr>
          <w:p>
            <w:pPr>
              <w:spacing w:after="0"/>
              <w:rPr>
                <w:sz w:val="19"/>
                <w:szCs w:val="19"/>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ind w:right="121"/>
              <w:spacing w:after="0" w:line="219" w:lineRule="exact"/>
              <w:rPr>
                <w:sz w:val="20"/>
                <w:szCs w:val="20"/>
                <w:color w:val="auto"/>
              </w:rPr>
            </w:pPr>
            <w:r>
              <w:rPr>
                <w:rFonts w:ascii="Times New Roman" w:cs="Times New Roman" w:eastAsia="Times New Roman" w:hAnsi="Times New Roman"/>
                <w:sz w:val="20"/>
                <w:szCs w:val="20"/>
                <w:color w:val="231F20"/>
              </w:rPr>
              <w:t>4,424</w:t>
            </w:r>
          </w:p>
        </w:tc>
        <w:tc>
          <w:tcPr>
            <w:tcW w:w="120" w:type="dxa"/>
            <w:vAlign w:val="bottom"/>
          </w:tcPr>
          <w:p>
            <w:pPr>
              <w:spacing w:after="0"/>
              <w:rPr>
                <w:sz w:val="19"/>
                <w:szCs w:val="19"/>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gridSpan w:val="2"/>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rPr>
              <w:t>(9,031)</w:t>
            </w:r>
          </w:p>
        </w:tc>
      </w:tr>
      <w:tr>
        <w:trPr>
          <w:trHeight w:val="20"/>
        </w:trPr>
        <w:tc>
          <w:tcPr>
            <w:tcW w:w="49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-6795770</wp:posOffset>
            </wp:positionV>
            <wp:extent cx="226949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extLst>
                    </a:blip>
                    <a:srcRect/>
                    <a:stretch>
                      <a:fillRect/>
                    </a:stretch>
                  </pic:blipFill>
                  <pic:spPr bwMode="auto">
                    <a:xfrm>
                      <a:off x="0" y="0"/>
                      <a:ext cx="2269490" cy="38100"/>
                    </a:xfrm>
                    <a:prstGeom prst="rect">
                      <a:avLst/>
                    </a:prstGeom>
                    <a:noFill/>
                  </pic:spPr>
                </pic:pic>
              </a:graphicData>
            </a:graphic>
          </wp:anchor>
        </w:drawing>
      </w:r>
    </w:p>
    <w:p>
      <w:pPr>
        <w:sectPr>
          <w:pgSz w:w="11880" w:h="15480" w:orient="portrait"/>
          <w:cols w:equalWidth="0" w:num="1">
            <w:col w:w="9400"/>
          </w:cols>
          <w:pgMar w:left="1040" w:top="75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9400"/>
          </w:cols>
          <w:pgMar w:left="1040" w:top="750" w:right="1440" w:bottom="0" w:gutter="0" w:footer="0" w:header="0"/>
          <w:type w:val="continuous"/>
        </w:sectPr>
      </w:pPr>
    </w:p>
    <w:bookmarkStart w:id="78" w:name="page79"/>
    <w:bookmarkEnd w:id="78"/>
    <w:p>
      <w:pPr>
        <w:ind w:right="640" w:firstLine="490"/>
        <w:spacing w:after="0" w:line="275" w:lineRule="auto"/>
        <w:tabs>
          <w:tab w:leader="none" w:pos="773" w:val="left"/>
        </w:tabs>
        <w:numPr>
          <w:ilvl w:val="0"/>
          <w:numId w:val="41"/>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Gross margin differences between the supplemental segment and consolidated results primarily reflect non-allocated severance expense of $0.3 million recorded in cost of goods sold during the third quarter of 2025.</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Below is a reconciliation of total assets, depreciation and amortization and capital expenditures by segment: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231F20"/>
              </w:rPr>
              <w:t>Total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11"/>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rPr>
              <w:t>Depreciation &amp; Amortization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10"/>
          </w:tcPr>
          <w:p>
            <w:pPr>
              <w:jc w:val="right"/>
              <w:spacing w:after="0"/>
              <w:rPr>
                <w:sz w:val="20"/>
                <w:szCs w:val="20"/>
                <w:color w:val="auto"/>
              </w:rPr>
            </w:pPr>
            <w:r>
              <w:rPr>
                <w:rFonts w:ascii="Times New Roman" w:cs="Times New Roman" w:eastAsia="Times New Roman" w:hAnsi="Times New Roman"/>
                <w:sz w:val="16"/>
                <w:szCs w:val="16"/>
                <w:b w:val="1"/>
                <w:bCs w:val="1"/>
                <w:color w:val="231F20"/>
              </w:rPr>
              <w:t>Capital Expenditures</w:t>
            </w:r>
          </w:p>
        </w:tc>
        <w:tc>
          <w:tcPr>
            <w:tcW w:w="620" w:type="dxa"/>
            <w:vAlign w:val="bottom"/>
          </w:tcPr>
          <w:p>
            <w:pPr>
              <w:spacing w:after="0"/>
              <w:rPr>
                <w:sz w:val="18"/>
                <w:szCs w:val="18"/>
                <w:color w:val="auto"/>
              </w:rPr>
            </w:pPr>
          </w:p>
        </w:tc>
      </w:tr>
      <w:tr>
        <w:trPr>
          <w:trHeight w:val="203"/>
        </w:trPr>
        <w:tc>
          <w:tcPr>
            <w:tcW w:w="2700" w:type="dxa"/>
            <w:vAlign w:val="bottom"/>
            <w:tcBorders>
              <w:bottom w:val="single" w:sz="8" w:color="E6E7E8"/>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12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20" w:type="dxa"/>
            <w:vAlign w:val="bottom"/>
            <w:tcBorders>
              <w:bottom w:val="single" w:sz="8" w:color="E6E7E8"/>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231F20"/>
                <w:w w:val="99"/>
              </w:rPr>
              <w:t>2023</w:t>
            </w:r>
          </w:p>
        </w:tc>
      </w:tr>
      <w:tr>
        <w:trPr>
          <w:trHeight w:val="193"/>
        </w:trPr>
        <w:tc>
          <w:tcPr>
            <w:tcW w:w="270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16"/>
                <w:szCs w:val="16"/>
                <w:color w:val="231F20"/>
              </w:rPr>
              <w:t>Data and Analytics Services</w:t>
            </w:r>
          </w:p>
        </w:tc>
        <w:tc>
          <w:tcPr>
            <w:tcW w:w="120" w:type="dxa"/>
            <w:vAlign w:val="bottom"/>
            <w:shd w:val="clear" w:color="auto" w:fill="E6E7E8"/>
          </w:tcPr>
          <w:p>
            <w:pPr>
              <w:jc w:val="right"/>
              <w:ind w:right="55"/>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shd w:val="clear" w:color="auto" w:fill="E6E7E8"/>
              </w:rPr>
              <w:t>40,848</w:t>
            </w:r>
          </w:p>
        </w:tc>
        <w:tc>
          <w:tcPr>
            <w:tcW w:w="10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00" w:type="dxa"/>
            <w:vAlign w:val="bottom"/>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shd w:val="clear" w:color="auto" w:fill="E6E7E8"/>
              </w:rPr>
              <w:t>44,053</w:t>
            </w:r>
          </w:p>
        </w:tc>
        <w:tc>
          <w:tcPr>
            <w:tcW w:w="10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00" w:type="dxa"/>
            <w:vAlign w:val="bottom"/>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shd w:val="clear" w:color="auto" w:fill="E6E7E8"/>
              </w:rPr>
              <w:t>45,681</w:t>
            </w:r>
          </w:p>
        </w:tc>
        <w:tc>
          <w:tcPr>
            <w:tcW w:w="1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00" w:type="dxa"/>
            <w:vAlign w:val="bottom"/>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2,439</w:t>
            </w:r>
          </w:p>
        </w:tc>
        <w:tc>
          <w:tcPr>
            <w:tcW w:w="10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20" w:type="dxa"/>
            <w:vAlign w:val="bottom"/>
            <w:shd w:val="clear" w:color="auto" w:fill="E6E7E8"/>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2,572</w:t>
            </w:r>
          </w:p>
        </w:tc>
        <w:tc>
          <w:tcPr>
            <w:tcW w:w="10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00" w:type="dxa"/>
            <w:vAlign w:val="bottom"/>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2,704</w:t>
            </w:r>
          </w:p>
        </w:tc>
        <w:tc>
          <w:tcPr>
            <w:tcW w:w="10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00" w:type="dxa"/>
            <w:vAlign w:val="bottom"/>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287</w:t>
            </w:r>
          </w:p>
        </w:tc>
        <w:tc>
          <w:tcPr>
            <w:tcW w:w="1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00" w:type="dxa"/>
            <w:vAlign w:val="bottom"/>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249</w:t>
            </w:r>
          </w:p>
        </w:tc>
        <w:tc>
          <w:tcPr>
            <w:tcW w:w="10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20" w:type="dxa"/>
            <w:vAlign w:val="bottom"/>
            <w:shd w:val="clear" w:color="auto" w:fill="E6E7E8"/>
          </w:tcPr>
          <w:p>
            <w:pPr>
              <w:spacing w:after="0"/>
              <w:rPr>
                <w:sz w:val="16"/>
                <w:szCs w:val="16"/>
                <w:color w:val="auto"/>
              </w:rPr>
            </w:pPr>
          </w:p>
        </w:tc>
        <w:tc>
          <w:tcPr>
            <w:tcW w:w="160" w:type="dxa"/>
            <w:vAlign w:val="bottom"/>
            <w:shd w:val="clear" w:color="auto" w:fill="E6E7E8"/>
          </w:tcPr>
          <w:p>
            <w:pPr>
              <w:jc w:val="right"/>
              <w:ind w:right="95"/>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177</w:t>
            </w:r>
          </w:p>
        </w:tc>
      </w:tr>
      <w:tr>
        <w:trPr>
          <w:trHeight w:val="198"/>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color w:val="231F20"/>
              </w:rPr>
              <w:t>IT Staffing Services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70,992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67,431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59,546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927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1,151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692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158</w:t>
            </w:r>
          </w:p>
        </w:tc>
      </w:tr>
      <w:tr>
        <w:trPr>
          <w:trHeight w:val="193"/>
        </w:trPr>
        <w:tc>
          <w:tcPr>
            <w:tcW w:w="2680" w:type="dxa"/>
            <w:vAlign w:val="bottom"/>
            <w:tcBorders>
              <w:top w:val="single" w:sz="8" w:color="E6E7E8"/>
            </w:tcBorders>
            <w:gridSpan w:val="2"/>
            <w:shd w:val="clear" w:color="auto" w:fill="E6E7E8"/>
          </w:tcPr>
          <w:p>
            <w:pPr>
              <w:ind w:left="200"/>
              <w:spacing w:after="0"/>
              <w:rPr>
                <w:sz w:val="20"/>
                <w:szCs w:val="20"/>
                <w:color w:val="auto"/>
              </w:rPr>
            </w:pPr>
            <w:r>
              <w:rPr>
                <w:rFonts w:ascii="Times New Roman" w:cs="Times New Roman" w:eastAsia="Times New Roman" w:hAnsi="Times New Roman"/>
                <w:sz w:val="16"/>
                <w:szCs w:val="16"/>
                <w:color w:val="231F20"/>
              </w:rPr>
              <w:t>Total</w:t>
            </w:r>
          </w:p>
        </w:tc>
        <w:tc>
          <w:tcPr>
            <w:tcW w:w="20" w:type="dxa"/>
            <w:vAlign w:val="bottom"/>
            <w:tcBorders>
              <w:top w:val="single" w:sz="8" w:color="231F20"/>
            </w:tcBorders>
            <w:shd w:val="clear" w:color="auto" w:fill="E6E7E8"/>
          </w:tcPr>
          <w:p>
            <w:pPr>
              <w:spacing w:after="0"/>
              <w:rPr>
                <w:sz w:val="16"/>
                <w:szCs w:val="16"/>
                <w:color w:val="auto"/>
              </w:rPr>
            </w:pPr>
          </w:p>
        </w:tc>
        <w:tc>
          <w:tcPr>
            <w:tcW w:w="120" w:type="dxa"/>
            <w:vAlign w:val="bottom"/>
            <w:tcBorders>
              <w:top w:val="single" w:sz="8" w:color="231F20"/>
            </w:tcBorders>
            <w:shd w:val="clear" w:color="auto" w:fill="E6E7E8"/>
          </w:tcPr>
          <w:p>
            <w:pPr>
              <w:jc w:val="right"/>
              <w:ind w:right="55"/>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shd w:val="clear" w:color="auto" w:fill="E6E7E8"/>
              </w:rPr>
              <w:t>111,840</w:t>
            </w:r>
          </w:p>
        </w:tc>
        <w:tc>
          <w:tcPr>
            <w:tcW w:w="10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00" w:type="dxa"/>
            <w:vAlign w:val="bottom"/>
            <w:tcBorders>
              <w:top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shd w:val="clear" w:color="auto" w:fill="E6E7E8"/>
              </w:rPr>
              <w:t>111,484</w:t>
            </w:r>
          </w:p>
        </w:tc>
        <w:tc>
          <w:tcPr>
            <w:tcW w:w="10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00" w:type="dxa"/>
            <w:vAlign w:val="bottom"/>
            <w:tcBorders>
              <w:top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shd w:val="clear" w:color="auto" w:fill="E6E7E8"/>
              </w:rPr>
              <w:t>$</w:t>
            </w:r>
          </w:p>
        </w:tc>
        <w:tc>
          <w:tcPr>
            <w:tcW w:w="6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shd w:val="clear" w:color="auto" w:fill="E6E7E8"/>
              </w:rPr>
              <w:t>105,227</w:t>
            </w:r>
          </w:p>
        </w:tc>
        <w:tc>
          <w:tcPr>
            <w:tcW w:w="1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00" w:type="dxa"/>
            <w:vAlign w:val="bottom"/>
            <w:tcBorders>
              <w:top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3,324</w:t>
            </w:r>
          </w:p>
        </w:tc>
        <w:tc>
          <w:tcPr>
            <w:tcW w:w="10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20" w:type="dxa"/>
            <w:vAlign w:val="bottom"/>
            <w:tcBorders>
              <w:top w:val="single" w:sz="8" w:color="231F20"/>
            </w:tcBorders>
            <w:shd w:val="clear" w:color="auto" w:fill="E6E7E8"/>
          </w:tcPr>
          <w:p>
            <w:pPr>
              <w:jc w:val="right"/>
              <w:ind w:right="5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3,499</w:t>
            </w:r>
          </w:p>
        </w:tc>
        <w:tc>
          <w:tcPr>
            <w:tcW w:w="10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00" w:type="dxa"/>
            <w:vAlign w:val="bottom"/>
            <w:tcBorders>
              <w:top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8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3,855</w:t>
            </w:r>
          </w:p>
        </w:tc>
        <w:tc>
          <w:tcPr>
            <w:tcW w:w="10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00" w:type="dxa"/>
            <w:vAlign w:val="bottom"/>
            <w:tcBorders>
              <w:top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376</w:t>
            </w:r>
          </w:p>
        </w:tc>
        <w:tc>
          <w:tcPr>
            <w:tcW w:w="1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00" w:type="dxa"/>
            <w:vAlign w:val="bottom"/>
            <w:tcBorders>
              <w:top w:val="single" w:sz="8" w:color="231F20"/>
            </w:tcBorders>
            <w:shd w:val="clear" w:color="auto" w:fill="E6E7E8"/>
          </w:tcPr>
          <w:p>
            <w:pPr>
              <w:jc w:val="right"/>
              <w:ind w:right="35"/>
              <w:spacing w:after="0"/>
              <w:rPr>
                <w:sz w:val="20"/>
                <w:szCs w:val="20"/>
                <w:color w:val="auto"/>
              </w:rPr>
            </w:pPr>
            <w:r>
              <w:rPr>
                <w:rFonts w:ascii="Times New Roman" w:cs="Times New Roman" w:eastAsia="Times New Roman" w:hAnsi="Times New Roman"/>
                <w:sz w:val="5"/>
                <w:szCs w:val="5"/>
                <w:color w:val="231F20"/>
                <w:w w:val="78"/>
              </w:rPr>
              <w:t>$</w:t>
            </w:r>
          </w:p>
        </w:tc>
        <w:tc>
          <w:tcPr>
            <w:tcW w:w="66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941</w:t>
            </w:r>
          </w:p>
        </w:tc>
        <w:tc>
          <w:tcPr>
            <w:tcW w:w="10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E6E7E8"/>
            </w:tcBorders>
            <w:shd w:val="clear" w:color="auto" w:fill="E6E7E8"/>
          </w:tcPr>
          <w:p>
            <w:pPr>
              <w:spacing w:after="0"/>
              <w:rPr>
                <w:sz w:val="16"/>
                <w:szCs w:val="16"/>
                <w:color w:val="auto"/>
              </w:rPr>
            </w:pPr>
          </w:p>
        </w:tc>
        <w:tc>
          <w:tcPr>
            <w:tcW w:w="20" w:type="dxa"/>
            <w:vAlign w:val="bottom"/>
            <w:tcBorders>
              <w:top w:val="single" w:sz="8" w:color="231F20"/>
            </w:tcBorders>
            <w:shd w:val="clear" w:color="auto" w:fill="E6E7E8"/>
          </w:tcPr>
          <w:p>
            <w:pPr>
              <w:spacing w:after="0"/>
              <w:rPr>
                <w:sz w:val="16"/>
                <w:szCs w:val="16"/>
                <w:color w:val="auto"/>
              </w:rPr>
            </w:pPr>
          </w:p>
        </w:tc>
        <w:tc>
          <w:tcPr>
            <w:tcW w:w="160" w:type="dxa"/>
            <w:vAlign w:val="bottom"/>
            <w:tcBorders>
              <w:top w:val="single" w:sz="8" w:color="231F20"/>
            </w:tcBorders>
            <w:shd w:val="clear" w:color="auto" w:fill="E6E7E8"/>
          </w:tcPr>
          <w:p>
            <w:pPr>
              <w:jc w:val="right"/>
              <w:ind w:right="95"/>
              <w:spacing w:after="0"/>
              <w:rPr>
                <w:sz w:val="20"/>
                <w:szCs w:val="20"/>
                <w:color w:val="auto"/>
              </w:rPr>
            </w:pPr>
            <w:r>
              <w:rPr>
                <w:rFonts w:ascii="Times New Roman" w:cs="Times New Roman" w:eastAsia="Times New Roman" w:hAnsi="Times New Roman"/>
                <w:sz w:val="5"/>
                <w:szCs w:val="5"/>
                <w:color w:val="231F20"/>
                <w:w w:val="78"/>
              </w:rPr>
              <w:t>$</w:t>
            </w:r>
          </w:p>
        </w:tc>
        <w:tc>
          <w:tcPr>
            <w:tcW w:w="620" w:type="dxa"/>
            <w:vAlign w:val="bottom"/>
            <w:tcBorders>
              <w:top w:val="single" w:sz="8" w:color="231F20"/>
            </w:tcBorders>
            <w:shd w:val="clear" w:color="auto" w:fill="E6E7E8"/>
          </w:tcPr>
          <w:p>
            <w:pPr>
              <w:jc w:val="right"/>
              <w:spacing w:after="0"/>
              <w:rPr>
                <w:sz w:val="20"/>
                <w:szCs w:val="20"/>
                <w:color w:val="auto"/>
              </w:rPr>
            </w:pPr>
            <w:r>
              <w:rPr>
                <w:rFonts w:ascii="Times New Roman" w:cs="Times New Roman" w:eastAsia="Times New Roman" w:hAnsi="Times New Roman"/>
                <w:sz w:val="16"/>
                <w:szCs w:val="16"/>
                <w:color w:val="231F20"/>
              </w:rPr>
              <w:t>335</w:t>
            </w:r>
          </w:p>
        </w:tc>
      </w:tr>
      <w:tr>
        <w:trPr>
          <w:trHeight w:val="20"/>
        </w:trPr>
        <w:tc>
          <w:tcPr>
            <w:tcW w:w="26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-573405</wp:posOffset>
            </wp:positionV>
            <wp:extent cx="51847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a:extLst>
                        <a:ext uri="{28A0092B-C50C-407E-A947-70E740481C1C}"/>
                      </a:extLst>
                    </a:blip>
                    <a:srcRect/>
                    <a:stretch>
                      <a:fillRect/>
                    </a:stretch>
                  </pic:blipFill>
                  <pic:spPr bwMode="auto">
                    <a:xfrm>
                      <a:off x="0" y="0"/>
                      <a:ext cx="5184775" cy="38100"/>
                    </a:xfrm>
                    <a:prstGeom prst="rect">
                      <a:avLst/>
                    </a:prstGeom>
                    <a:noFill/>
                  </pic:spPr>
                </pic:pic>
              </a:graphicData>
            </a:graphic>
          </wp:anchor>
        </w:drawing>
      </w:r>
    </w:p>
    <w:p>
      <w:pPr>
        <w:spacing w:after="0" w:line="237"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Below is geographic information related to our revenues from external customers and fixed assets, net (equipment, enterprise software and leasehold improvements):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9"/>
          </w:tcPr>
          <w:p>
            <w:pPr>
              <w:jc w:val="center"/>
              <w:ind w:left="369"/>
              <w:spacing w:after="0"/>
              <w:rPr>
                <w:sz w:val="20"/>
                <w:szCs w:val="20"/>
                <w:color w:val="auto"/>
              </w:rPr>
            </w:pPr>
            <w:r>
              <w:rPr>
                <w:rFonts w:ascii="Times New Roman" w:cs="Times New Roman" w:eastAsia="Times New Roman" w:hAnsi="Times New Roman"/>
                <w:sz w:val="16"/>
                <w:szCs w:val="16"/>
                <w:b w:val="1"/>
                <w:bCs w:val="1"/>
                <w:color w:val="231F20"/>
              </w:rPr>
              <w:t>Equipment, Enterprise</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9"/>
          </w:tcPr>
          <w:p>
            <w:pPr>
              <w:jc w:val="center"/>
              <w:ind w:left="389"/>
              <w:spacing w:after="0"/>
              <w:rPr>
                <w:sz w:val="20"/>
                <w:szCs w:val="20"/>
                <w:color w:val="auto"/>
              </w:rPr>
            </w:pPr>
            <w:r>
              <w:rPr>
                <w:rFonts w:ascii="Times New Roman" w:cs="Times New Roman" w:eastAsia="Times New Roman" w:hAnsi="Times New Roman"/>
                <w:sz w:val="16"/>
                <w:szCs w:val="16"/>
                <w:b w:val="1"/>
                <w:bCs w:val="1"/>
                <w:color w:val="231F20"/>
                <w:w w:val="99"/>
              </w:rPr>
              <w:t>Software and Leasehold</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231F20"/>
                <w:w w:val="98"/>
              </w:rPr>
              <w:t>Revenues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Improvements, net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4360" w:type="dxa"/>
            <w:vAlign w:val="bottom"/>
            <w:tcBorders>
              <w:bottom w:val="single" w:sz="8" w:color="E6E7E8"/>
            </w:tcBorders>
            <w:gridSpan w:val="3"/>
          </w:tcPr>
          <w:p>
            <w:pPr>
              <w:spacing w:after="0"/>
              <w:rPr>
                <w:sz w:val="20"/>
                <w:szCs w:val="20"/>
                <w:color w:val="auto"/>
              </w:rPr>
            </w:pPr>
            <w:r>
              <w:rPr>
                <w:rFonts w:ascii="Times New Roman" w:cs="Times New Roman" w:eastAsia="Times New Roman" w:hAnsi="Times New Roman"/>
                <w:sz w:val="16"/>
                <w:szCs w:val="16"/>
                <w:b w:val="1"/>
                <w:bCs w:val="1"/>
                <w:color w:val="231F20"/>
              </w:rPr>
              <w:t>Amounts in thousands</w:t>
            </w:r>
          </w:p>
        </w:tc>
        <w:tc>
          <w:tcPr>
            <w:tcW w:w="12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00" w:type="dxa"/>
            <w:vAlign w:val="bottom"/>
            <w:tcBorders>
              <w:bottom w:val="single" w:sz="8" w:color="E6E7E8"/>
            </w:tcBorders>
          </w:tcPr>
          <w:p>
            <w:pPr>
              <w:spacing w:after="0"/>
              <w:rPr>
                <w:sz w:val="16"/>
                <w:szCs w:val="16"/>
                <w:color w:val="auto"/>
              </w:rPr>
            </w:pPr>
          </w:p>
        </w:tc>
        <w:tc>
          <w:tcPr>
            <w:tcW w:w="20" w:type="dxa"/>
            <w:vAlign w:val="bottom"/>
            <w:tcBorders>
              <w:bottom w:val="single" w:sz="8" w:color="E6E7E8"/>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E6E7E8"/>
            </w:tcBorders>
          </w:tcPr>
          <w:p>
            <w:pPr>
              <w:spacing w:after="0"/>
              <w:rPr>
                <w:sz w:val="16"/>
                <w:szCs w:val="16"/>
                <w:color w:val="auto"/>
              </w:rPr>
            </w:pPr>
          </w:p>
        </w:tc>
        <w:tc>
          <w:tcPr>
            <w:tcW w:w="20" w:type="dxa"/>
            <w:vAlign w:val="bottom"/>
            <w:tcBorders>
              <w:bottom w:val="single" w:sz="8" w:color="E6E7E8"/>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6E7E8"/>
            </w:tcBorders>
          </w:tcPr>
          <w:p>
            <w:pPr>
              <w:spacing w:after="0"/>
              <w:rPr>
                <w:sz w:val="16"/>
                <w:szCs w:val="16"/>
                <w:color w:val="auto"/>
              </w:rPr>
            </w:pPr>
          </w:p>
        </w:tc>
        <w:tc>
          <w:tcPr>
            <w:tcW w:w="20" w:type="dxa"/>
            <w:vAlign w:val="bottom"/>
            <w:tcBorders>
              <w:bottom w:val="single" w:sz="8" w:color="E6E7E8"/>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700" w:type="dxa"/>
            <w:vAlign w:val="bottom"/>
            <w:tcBorders>
              <w:bottom w:val="single" w:sz="8" w:color="231F20"/>
            </w:tcBorders>
          </w:tcPr>
          <w:p>
            <w:pPr>
              <w:jc w:val="right"/>
              <w:ind w:right="18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2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80" w:type="dxa"/>
            <w:vAlign w:val="bottom"/>
            <w:tcBorders>
              <w:bottom w:val="single" w:sz="8" w:color="E6E7E8"/>
            </w:tcBorders>
          </w:tcPr>
          <w:p>
            <w:pPr>
              <w:spacing w:after="0"/>
              <w:rPr>
                <w:sz w:val="16"/>
                <w:szCs w:val="16"/>
                <w:color w:val="auto"/>
              </w:rPr>
            </w:pPr>
          </w:p>
        </w:tc>
        <w:tc>
          <w:tcPr>
            <w:tcW w:w="20" w:type="dxa"/>
            <w:vAlign w:val="bottom"/>
            <w:tcBorders>
              <w:bottom w:val="single" w:sz="8" w:color="E6E7E8"/>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jc w:val="center"/>
              <w:ind w:right="204"/>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Borders>
              <w:bottom w:val="single" w:sz="8" w:color="E6E7E8"/>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68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60" w:type="dxa"/>
            <w:vAlign w:val="bottom"/>
            <w:tcBorders>
              <w:bottom w:val="single" w:sz="8" w:color="231F20"/>
            </w:tcBorders>
          </w:tcPr>
          <w:p>
            <w:pPr>
              <w:spacing w:after="0"/>
              <w:rPr>
                <w:sz w:val="16"/>
                <w:szCs w:val="16"/>
                <w:color w:val="auto"/>
              </w:rPr>
            </w:pPr>
          </w:p>
        </w:tc>
        <w:tc>
          <w:tcPr>
            <w:tcW w:w="20" w:type="dxa"/>
            <w:vAlign w:val="bottom"/>
          </w:tcPr>
          <w:p>
            <w:pPr>
              <w:spacing w:after="0"/>
              <w:rPr>
                <w:sz w:val="16"/>
                <w:szCs w:val="16"/>
                <w:color w:val="auto"/>
              </w:rPr>
            </w:pPr>
          </w:p>
        </w:tc>
      </w:tr>
      <w:tr>
        <w:trPr>
          <w:trHeight w:val="239"/>
        </w:trPr>
        <w:tc>
          <w:tcPr>
            <w:tcW w:w="436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United States</w:t>
            </w:r>
          </w:p>
        </w:tc>
        <w:tc>
          <w:tcPr>
            <w:tcW w:w="120" w:type="dxa"/>
            <w:vAlign w:val="bottom"/>
            <w:shd w:val="clear" w:color="auto" w:fill="E6E7E8"/>
          </w:tcPr>
          <w:p>
            <w:pPr>
              <w:jc w:val="right"/>
              <w:ind w:right="5"/>
              <w:spacing w:after="0"/>
              <w:rPr>
                <w:sz w:val="20"/>
                <w:szCs w:val="20"/>
                <w:color w:val="auto"/>
              </w:rPr>
            </w:pPr>
            <w:r>
              <w:rPr>
                <w:rFonts w:ascii="Times New Roman" w:cs="Times New Roman" w:eastAsia="Times New Roman" w:hAnsi="Times New Roman"/>
                <w:sz w:val="11"/>
                <w:szCs w:val="11"/>
                <w:color w:val="231F20"/>
                <w:w w:val="71"/>
                <w:shd w:val="clear" w:color="auto" w:fill="E6E7E8"/>
              </w:rPr>
              <w:t>$</w:t>
            </w:r>
          </w:p>
        </w:tc>
        <w:tc>
          <w:tcPr>
            <w:tcW w:w="84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shd w:val="clear" w:color="auto" w:fill="E6E7E8"/>
              </w:rPr>
              <w:t>189,286</w:t>
            </w:r>
          </w:p>
        </w:tc>
        <w:tc>
          <w:tcPr>
            <w:tcW w:w="10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90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20"/>
                <w:szCs w:val="20"/>
                <w:color w:val="231F20"/>
                <w:shd w:val="clear" w:color="auto" w:fill="E6E7E8"/>
              </w:rPr>
              <w:t>195,455</w:t>
            </w:r>
          </w:p>
        </w:tc>
        <w:tc>
          <w:tcPr>
            <w:tcW w:w="10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6E7E8"/>
              </w:rPr>
              <w:t>$</w:t>
            </w:r>
          </w:p>
        </w:tc>
        <w:tc>
          <w:tcPr>
            <w:tcW w:w="82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shd w:val="clear" w:color="auto" w:fill="E6E7E8"/>
              </w:rPr>
              <w:t>197,246</w:t>
            </w:r>
          </w:p>
        </w:tc>
        <w:tc>
          <w:tcPr>
            <w:tcW w:w="10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80" w:type="dxa"/>
            <w:vAlign w:val="bottom"/>
            <w:shd w:val="clear" w:color="auto" w:fill="E6E7E8"/>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599</w:t>
            </w:r>
          </w:p>
        </w:tc>
        <w:tc>
          <w:tcPr>
            <w:tcW w:w="12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8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c>
          <w:tcPr>
            <w:tcW w:w="16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851</w:t>
            </w:r>
          </w:p>
        </w:tc>
        <w:tc>
          <w:tcPr>
            <w:tcW w:w="100" w:type="dxa"/>
            <w:vAlign w:val="bottom"/>
            <w:shd w:val="clear" w:color="auto" w:fill="E6E7E8"/>
          </w:tcPr>
          <w:p>
            <w:pPr>
              <w:spacing w:after="0"/>
              <w:rPr>
                <w:sz w:val="20"/>
                <w:szCs w:val="20"/>
                <w:color w:val="auto"/>
              </w:rPr>
            </w:pPr>
          </w:p>
        </w:tc>
        <w:tc>
          <w:tcPr>
            <w:tcW w:w="220" w:type="dxa"/>
            <w:vAlign w:val="bottom"/>
            <w:shd w:val="clear" w:color="auto" w:fill="E6E7E8"/>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791</w:t>
            </w:r>
          </w:p>
        </w:tc>
        <w:tc>
          <w:tcPr>
            <w:tcW w:w="60" w:type="dxa"/>
            <w:vAlign w:val="bottom"/>
            <w:shd w:val="clear" w:color="auto" w:fill="E6E7E8"/>
          </w:tcPr>
          <w:p>
            <w:pPr>
              <w:spacing w:after="0"/>
              <w:rPr>
                <w:sz w:val="20"/>
                <w:szCs w:val="20"/>
                <w:color w:val="auto"/>
              </w:rPr>
            </w:pPr>
          </w:p>
        </w:tc>
        <w:tc>
          <w:tcPr>
            <w:tcW w:w="20" w:type="dxa"/>
            <w:vAlign w:val="bottom"/>
            <w:shd w:val="clear" w:color="auto" w:fill="E6E7E8"/>
          </w:tcPr>
          <w:p>
            <w:pPr>
              <w:spacing w:after="0"/>
              <w:rPr>
                <w:sz w:val="20"/>
                <w:szCs w:val="20"/>
                <w:color w:val="auto"/>
              </w:rPr>
            </w:pPr>
          </w:p>
        </w:tc>
      </w:tr>
      <w:tr>
        <w:trPr>
          <w:trHeight w:val="244"/>
        </w:trPr>
        <w:tc>
          <w:tcPr>
            <w:tcW w:w="43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Canada</w:t>
            </w:r>
          </w:p>
        </w:tc>
        <w:tc>
          <w:tcPr>
            <w:tcW w:w="120" w:type="dxa"/>
            <w:vAlign w:val="bottom"/>
          </w:tcPr>
          <w:p>
            <w:pPr>
              <w:spacing w:after="0"/>
              <w:rPr>
                <w:sz w:val="21"/>
                <w:szCs w:val="21"/>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556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231F20"/>
              </w:rPr>
              <w:t>1,041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2,474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4"/>
        </w:trPr>
        <w:tc>
          <w:tcPr>
            <w:tcW w:w="4360" w:type="dxa"/>
            <w:vAlign w:val="bottom"/>
            <w:gridSpan w:val="3"/>
            <w:shd w:val="clear" w:color="auto" w:fill="E6E7E8"/>
          </w:tcPr>
          <w:p>
            <w:pPr>
              <w:spacing w:after="0"/>
              <w:rPr>
                <w:sz w:val="20"/>
                <w:szCs w:val="20"/>
                <w:color w:val="auto"/>
              </w:rPr>
            </w:pPr>
            <w:r>
              <w:rPr>
                <w:rFonts w:ascii="Times New Roman" w:cs="Times New Roman" w:eastAsia="Times New Roman" w:hAnsi="Times New Roman"/>
                <w:sz w:val="20"/>
                <w:szCs w:val="20"/>
                <w:color w:val="231F20"/>
              </w:rPr>
              <w:t>India and Other</w:t>
            </w:r>
          </w:p>
        </w:tc>
        <w:tc>
          <w:tcPr>
            <w:tcW w:w="120" w:type="dxa"/>
            <w:vAlign w:val="bottom"/>
            <w:shd w:val="clear" w:color="auto" w:fill="E6E7E8"/>
          </w:tcPr>
          <w:p>
            <w:pPr>
              <w:spacing w:after="0"/>
              <w:rPr>
                <w:sz w:val="22"/>
                <w:szCs w:val="22"/>
                <w:color w:val="auto"/>
              </w:rPr>
            </w:pPr>
          </w:p>
        </w:tc>
        <w:tc>
          <w:tcPr>
            <w:tcW w:w="84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1,529</w:t>
            </w:r>
          </w:p>
        </w:tc>
        <w:tc>
          <w:tcPr>
            <w:tcW w:w="10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900" w:type="dxa"/>
            <w:vAlign w:val="bottom"/>
            <w:shd w:val="clear" w:color="auto" w:fill="E6E7E8"/>
          </w:tcPr>
          <w:p>
            <w:pPr>
              <w:jc w:val="right"/>
              <w:ind w:right="27"/>
              <w:spacing w:after="0"/>
              <w:rPr>
                <w:sz w:val="20"/>
                <w:szCs w:val="20"/>
                <w:color w:val="auto"/>
              </w:rPr>
            </w:pPr>
            <w:r>
              <w:rPr>
                <w:rFonts w:ascii="Times New Roman" w:cs="Times New Roman" w:eastAsia="Times New Roman" w:hAnsi="Times New Roman"/>
                <w:sz w:val="20"/>
                <w:szCs w:val="20"/>
                <w:color w:val="231F20"/>
              </w:rPr>
              <w:t>2,447</w:t>
            </w:r>
          </w:p>
        </w:tc>
        <w:tc>
          <w:tcPr>
            <w:tcW w:w="10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160" w:type="dxa"/>
            <w:vAlign w:val="bottom"/>
            <w:shd w:val="clear" w:color="auto" w:fill="E6E7E8"/>
          </w:tcPr>
          <w:p>
            <w:pPr>
              <w:spacing w:after="0"/>
              <w:rPr>
                <w:sz w:val="22"/>
                <w:szCs w:val="22"/>
                <w:color w:val="auto"/>
              </w:rPr>
            </w:pPr>
          </w:p>
        </w:tc>
        <w:tc>
          <w:tcPr>
            <w:tcW w:w="82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1,378</w:t>
            </w:r>
          </w:p>
        </w:tc>
        <w:tc>
          <w:tcPr>
            <w:tcW w:w="10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180" w:type="dxa"/>
            <w:vAlign w:val="bottom"/>
            <w:shd w:val="clear" w:color="auto" w:fill="E6E7E8"/>
          </w:tcPr>
          <w:p>
            <w:pPr>
              <w:spacing w:after="0"/>
              <w:rPr>
                <w:sz w:val="22"/>
                <w:szCs w:val="22"/>
                <w:color w:val="auto"/>
              </w:rPr>
            </w:pPr>
          </w:p>
        </w:tc>
        <w:tc>
          <w:tcPr>
            <w:tcW w:w="7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810</w:t>
            </w:r>
          </w:p>
        </w:tc>
        <w:tc>
          <w:tcPr>
            <w:tcW w:w="12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8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c>
          <w:tcPr>
            <w:tcW w:w="160" w:type="dxa"/>
            <w:vAlign w:val="bottom"/>
            <w:shd w:val="clear" w:color="auto" w:fill="E6E7E8"/>
          </w:tcPr>
          <w:p>
            <w:pPr>
              <w:spacing w:after="0"/>
              <w:rPr>
                <w:sz w:val="22"/>
                <w:szCs w:val="22"/>
                <w:color w:val="auto"/>
              </w:rPr>
            </w:pPr>
          </w:p>
        </w:tc>
        <w:tc>
          <w:tcPr>
            <w:tcW w:w="820" w:type="dxa"/>
            <w:vAlign w:val="bottom"/>
            <w:shd w:val="clear" w:color="auto" w:fill="E6E7E8"/>
          </w:tcPr>
          <w:p>
            <w:pPr>
              <w:jc w:val="right"/>
              <w:ind w:right="24"/>
              <w:spacing w:after="0"/>
              <w:rPr>
                <w:sz w:val="20"/>
                <w:szCs w:val="20"/>
                <w:color w:val="auto"/>
              </w:rPr>
            </w:pPr>
            <w:r>
              <w:rPr>
                <w:rFonts w:ascii="Times New Roman" w:cs="Times New Roman" w:eastAsia="Times New Roman" w:hAnsi="Times New Roman"/>
                <w:sz w:val="20"/>
                <w:szCs w:val="20"/>
                <w:color w:val="231F20"/>
              </w:rPr>
              <w:t>893</w:t>
            </w:r>
          </w:p>
        </w:tc>
        <w:tc>
          <w:tcPr>
            <w:tcW w:w="100" w:type="dxa"/>
            <w:vAlign w:val="bottom"/>
            <w:shd w:val="clear" w:color="auto" w:fill="E6E7E8"/>
          </w:tcPr>
          <w:p>
            <w:pPr>
              <w:spacing w:after="0"/>
              <w:rPr>
                <w:sz w:val="22"/>
                <w:szCs w:val="22"/>
                <w:color w:val="auto"/>
              </w:rPr>
            </w:pPr>
          </w:p>
        </w:tc>
        <w:tc>
          <w:tcPr>
            <w:tcW w:w="220" w:type="dxa"/>
            <w:vAlign w:val="bottom"/>
            <w:shd w:val="clear" w:color="auto" w:fill="E6E7E8"/>
          </w:tcPr>
          <w:p>
            <w:pPr>
              <w:spacing w:after="0"/>
              <w:rPr>
                <w:sz w:val="22"/>
                <w:szCs w:val="22"/>
                <w:color w:val="auto"/>
              </w:rPr>
            </w:pPr>
          </w:p>
        </w:tc>
        <w:tc>
          <w:tcPr>
            <w:tcW w:w="68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790</w:t>
            </w:r>
          </w:p>
        </w:tc>
        <w:tc>
          <w:tcPr>
            <w:tcW w:w="60" w:type="dxa"/>
            <w:vAlign w:val="bottom"/>
            <w:shd w:val="clear" w:color="auto" w:fill="E6E7E8"/>
          </w:tcPr>
          <w:p>
            <w:pPr>
              <w:spacing w:after="0"/>
              <w:rPr>
                <w:sz w:val="22"/>
                <w:szCs w:val="22"/>
                <w:color w:val="auto"/>
              </w:rPr>
            </w:pPr>
          </w:p>
        </w:tc>
        <w:tc>
          <w:tcPr>
            <w:tcW w:w="20" w:type="dxa"/>
            <w:vAlign w:val="bottom"/>
            <w:shd w:val="clear" w:color="auto" w:fill="E6E7E8"/>
          </w:tcPr>
          <w:p>
            <w:pPr>
              <w:spacing w:after="0"/>
              <w:rPr>
                <w:sz w:val="22"/>
                <w:szCs w:val="22"/>
                <w:color w:val="auto"/>
              </w:rPr>
            </w:pPr>
          </w:p>
        </w:tc>
      </w:tr>
      <w:tr>
        <w:trPr>
          <w:trHeight w:val="219"/>
        </w:trPr>
        <w:tc>
          <w:tcPr>
            <w:tcW w:w="4340" w:type="dxa"/>
            <w:vAlign w:val="bottom"/>
            <w:tcBorders>
              <w:top w:val="single" w:sz="8" w:color="E6E7E8"/>
            </w:tcBorders>
            <w:gridSpan w:val="2"/>
          </w:tcPr>
          <w:p>
            <w:pPr>
              <w:ind w:left="200"/>
              <w:spacing w:after="0" w:line="219" w:lineRule="exact"/>
              <w:rPr>
                <w:sz w:val="20"/>
                <w:szCs w:val="20"/>
                <w:color w:val="auto"/>
              </w:rPr>
            </w:pPr>
            <w:r>
              <w:rPr>
                <w:rFonts w:ascii="Times New Roman" w:cs="Times New Roman" w:eastAsia="Times New Roman" w:hAnsi="Times New Roman"/>
                <w:sz w:val="20"/>
                <w:szCs w:val="20"/>
                <w:color w:val="231F20"/>
              </w:rPr>
              <w:t>Total</w:t>
            </w:r>
          </w:p>
        </w:tc>
        <w:tc>
          <w:tcPr>
            <w:tcW w:w="2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jc w:val="right"/>
              <w:ind w:right="5"/>
              <w:spacing w:after="0"/>
              <w:rPr>
                <w:sz w:val="20"/>
                <w:szCs w:val="20"/>
                <w:color w:val="auto"/>
              </w:rPr>
            </w:pPr>
            <w:r>
              <w:rPr>
                <w:rFonts w:ascii="Times New Roman" w:cs="Times New Roman" w:eastAsia="Times New Roman" w:hAnsi="Times New Roman"/>
                <w:sz w:val="11"/>
                <w:szCs w:val="11"/>
                <w:color w:val="231F20"/>
                <w:w w:val="71"/>
              </w:rPr>
              <w:t>$</w:t>
            </w:r>
          </w:p>
        </w:tc>
        <w:tc>
          <w:tcPr>
            <w:tcW w:w="840" w:type="dxa"/>
            <w:vAlign w:val="bottom"/>
            <w:tcBorders>
              <w:top w:val="single" w:sz="8" w:color="231F20"/>
            </w:tcBorders>
          </w:tcPr>
          <w:p>
            <w:pPr>
              <w:jc w:val="right"/>
              <w:ind w:right="24"/>
              <w:spacing w:after="0" w:line="219" w:lineRule="exact"/>
              <w:rPr>
                <w:sz w:val="20"/>
                <w:szCs w:val="20"/>
                <w:color w:val="auto"/>
              </w:rPr>
            </w:pPr>
            <w:r>
              <w:rPr>
                <w:rFonts w:ascii="Times New Roman" w:cs="Times New Roman" w:eastAsia="Times New Roman" w:hAnsi="Times New Roman"/>
                <w:sz w:val="20"/>
                <w:szCs w:val="20"/>
                <w:color w:val="231F20"/>
              </w:rPr>
              <w:t>191,371</w:t>
            </w: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top w:val="single" w:sz="8" w:color="231F20"/>
            </w:tcBorders>
          </w:tcPr>
          <w:p>
            <w:pPr>
              <w:jc w:val="right"/>
              <w:ind w:right="27"/>
              <w:spacing w:after="0" w:line="219" w:lineRule="exact"/>
              <w:rPr>
                <w:sz w:val="20"/>
                <w:szCs w:val="20"/>
                <w:color w:val="auto"/>
              </w:rPr>
            </w:pPr>
            <w:r>
              <w:rPr>
                <w:rFonts w:ascii="Times New Roman" w:cs="Times New Roman" w:eastAsia="Times New Roman" w:hAnsi="Times New Roman"/>
                <w:sz w:val="20"/>
                <w:szCs w:val="20"/>
                <w:color w:val="231F20"/>
              </w:rPr>
              <w:t>198,943</w:t>
            </w: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tcBorders>
          </w:tcPr>
          <w:p>
            <w:pPr>
              <w:jc w:val="right"/>
              <w:ind w:right="24"/>
              <w:spacing w:after="0" w:line="219" w:lineRule="exact"/>
              <w:rPr>
                <w:sz w:val="20"/>
                <w:szCs w:val="20"/>
                <w:color w:val="auto"/>
              </w:rPr>
            </w:pPr>
            <w:r>
              <w:rPr>
                <w:rFonts w:ascii="Times New Roman" w:cs="Times New Roman" w:eastAsia="Times New Roman" w:hAnsi="Times New Roman"/>
                <w:sz w:val="20"/>
                <w:szCs w:val="20"/>
                <w:color w:val="231F20"/>
              </w:rPr>
              <w:t>201,098</w:t>
            </w:r>
          </w:p>
        </w:tc>
        <w:tc>
          <w:tcPr>
            <w:tcW w:w="100" w:type="dxa"/>
            <w:vAlign w:val="bottom"/>
            <w:tcBorders>
              <w:top w:val="single" w:sz="8" w:color="E6E7E8"/>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80" w:type="dxa"/>
            <w:vAlign w:val="bottom"/>
            <w:tcBorders>
              <w:top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1,557</w:t>
            </w:r>
          </w:p>
        </w:tc>
        <w:tc>
          <w:tcPr>
            <w:tcW w:w="120" w:type="dxa"/>
            <w:vAlign w:val="bottom"/>
            <w:tcBorders>
              <w:top w:val="single" w:sz="8" w:color="231F20"/>
            </w:tcBorders>
          </w:tcPr>
          <w:p>
            <w:pPr>
              <w:spacing w:after="0"/>
              <w:rPr>
                <w:sz w:val="19"/>
                <w:szCs w:val="19"/>
                <w:color w:val="auto"/>
              </w:rPr>
            </w:pPr>
          </w:p>
        </w:tc>
        <w:tc>
          <w:tcPr>
            <w:tcW w:w="100" w:type="dxa"/>
            <w:vAlign w:val="bottom"/>
            <w:tcBorders>
              <w:top w:val="single" w:sz="8" w:color="E6E7E8"/>
            </w:tcBorders>
            <w:gridSpan w:val="2"/>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c>
          <w:tcPr>
            <w:tcW w:w="1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tcBorders>
          </w:tcPr>
          <w:p>
            <w:pPr>
              <w:jc w:val="right"/>
              <w:ind w:right="24"/>
              <w:spacing w:after="0" w:line="219" w:lineRule="exact"/>
              <w:rPr>
                <w:sz w:val="20"/>
                <w:szCs w:val="20"/>
                <w:color w:val="auto"/>
              </w:rPr>
            </w:pPr>
            <w:r>
              <w:rPr>
                <w:rFonts w:ascii="Times New Roman" w:cs="Times New Roman" w:eastAsia="Times New Roman" w:hAnsi="Times New Roman"/>
                <w:sz w:val="20"/>
                <w:szCs w:val="20"/>
                <w:color w:val="231F20"/>
              </w:rPr>
              <w:t>1,998</w:t>
            </w:r>
          </w:p>
        </w:tc>
        <w:tc>
          <w:tcPr>
            <w:tcW w:w="100" w:type="dxa"/>
            <w:vAlign w:val="bottom"/>
            <w:tcBorders>
              <w:top w:val="single" w:sz="8" w:color="E6E7E8"/>
            </w:tcBorders>
          </w:tcPr>
          <w:p>
            <w:pPr>
              <w:spacing w:after="0"/>
              <w:rPr>
                <w:sz w:val="19"/>
                <w:szCs w:val="19"/>
                <w:color w:val="auto"/>
              </w:rPr>
            </w:pPr>
          </w:p>
        </w:tc>
        <w:tc>
          <w:tcPr>
            <w:tcW w:w="220" w:type="dxa"/>
            <w:vAlign w:val="bottom"/>
            <w:tcBorders>
              <w:top w:val="single" w:sz="8" w:color="231F20"/>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6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1,913</w:t>
            </w:r>
          </w:p>
        </w:tc>
        <w:tc>
          <w:tcPr>
            <w:tcW w:w="60" w:type="dxa"/>
            <w:vAlign w:val="bottom"/>
            <w:tcBorders>
              <w:top w:val="single" w:sz="8" w:color="231F20"/>
            </w:tcBorders>
          </w:tcPr>
          <w:p>
            <w:pPr>
              <w:spacing w:after="0"/>
              <w:rPr>
                <w:sz w:val="19"/>
                <w:szCs w:val="19"/>
                <w:color w:val="auto"/>
              </w:rPr>
            </w:pPr>
          </w:p>
        </w:tc>
        <w:tc>
          <w:tcPr>
            <w:tcW w:w="20" w:type="dxa"/>
            <w:vAlign w:val="bottom"/>
            <w:tcBorders>
              <w:top w:val="single" w:sz="8" w:color="E6E7E8"/>
            </w:tcBorders>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-816610</wp:posOffset>
            </wp:positionV>
            <wp:extent cx="4116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9">
                      <a:extLst>
                        <a:ext uri="{28A0092B-C50C-407E-A947-70E740481C1C}"/>
                      </a:extLst>
                    </a:blip>
                    <a:srcRect/>
                    <a:stretch>
                      <a:fillRect/>
                    </a:stretch>
                  </pic:blipFill>
                  <pic:spPr bwMode="auto">
                    <a:xfrm>
                      <a:off x="0" y="0"/>
                      <a:ext cx="4116070" cy="38100"/>
                    </a:xfrm>
                    <a:prstGeom prst="rect">
                      <a:avLst/>
                    </a:prstGeom>
                    <a:noFill/>
                  </pic:spPr>
                </pic:pic>
              </a:graphicData>
            </a:graphic>
          </wp:anchor>
        </w:drawing>
      </w:r>
    </w:p>
    <w:p>
      <w:pPr>
        <w:spacing w:after="0" w:line="353" w:lineRule="exact"/>
        <w:rPr>
          <w:sz w:val="20"/>
          <w:szCs w:val="20"/>
          <w:color w:val="auto"/>
        </w:rPr>
      </w:pPr>
    </w:p>
    <w:p>
      <w:pPr>
        <w:ind w:left="480" w:hanging="480"/>
        <w:spacing w:after="0"/>
        <w:tabs>
          <w:tab w:leader="none" w:pos="480" w:val="left"/>
        </w:tabs>
        <w:numPr>
          <w:ilvl w:val="0"/>
          <w:numId w:val="42"/>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Subsequent Event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Share Repurchase Authorization</w:t>
      </w:r>
    </w:p>
    <w:p>
      <w:pPr>
        <w:spacing w:after="0" w:line="23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231F20"/>
        </w:rPr>
        <w:t>On February 16, 2026, the Company’s Board of Directors authorized a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Termination of Employee Stock Purchase Plan</w:t>
      </w:r>
    </w:p>
    <w:p>
      <w:pPr>
        <w:spacing w:after="0" w:line="23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On February 16, 2026, the Company’s Board of Directors approved the termination of the Company’s Employee Stock Purchase Plan. The termination will become effective on July 1, 2026, following completion of the current offering period ending June 30, 2026. Shares issuable under the current offering period will be issued in accordance with the terms of the plan, and no additional offering periods will commence thereafter.</w:t>
      </w:r>
    </w:p>
    <w:p>
      <w:pPr>
        <w:sectPr>
          <w:pgSz w:w="11880" w:h="15480" w:orient="portrait"/>
          <w:cols w:equalWidth="0" w:num="1">
            <w:col w:w="10800"/>
          </w:cols>
          <w:pgMar w:left="540" w:top="102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800"/>
          </w:cols>
          <w:pgMar w:left="540" w:top="1028" w:right="540" w:bottom="0" w:gutter="0" w:footer="0" w:header="0"/>
          <w:type w:val="continuous"/>
        </w:sectPr>
      </w:pPr>
    </w:p>
    <w:bookmarkStart w:id="79" w:name="page80"/>
    <w:bookmarkEnd w:id="79"/>
    <w:p>
      <w:pPr>
        <w:ind w:right="800"/>
        <w:spacing w:after="0" w:line="286" w:lineRule="auto"/>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Disclosure Controls and Procedures</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9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and 15d-15(b). Based upon that evaluation, the Chief Executive Officer and the Chief Financial Officer concluded that the Company’s disclosure controls and procedures were effective as of this date.</w:t>
      </w:r>
    </w:p>
    <w:p>
      <w:pPr>
        <w:spacing w:after="0" w:line="197"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certifications required by Section 302 of the Sarbanes-Oxley Act of 2002 are filed as exhibits 31.1 and 31.2, respectively, to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Management’s Report on Internal Controls Over Financial Reporting</w:t>
      </w:r>
    </w:p>
    <w:p>
      <w:pPr>
        <w:spacing w:after="0" w:line="23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Management of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maintenance of records that, in reasonable detail, accurately and fairly reflect our transactions; providing reasonable assurance that transactions are recorded as necessary for preparation of our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financial statements would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20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In making its assessment of internal control over financial reporting, management used the criteria described in the Internal Control-Integrated Framework (2013) issued by the Committee of Sponsoring Organizations of the Treadway Commission (“COSO-2013”).</w:t>
      </w:r>
    </w:p>
    <w:p>
      <w:pPr>
        <w:spacing w:after="0" w:line="18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The Company’s management, including the Company’s Chief Executive Officer and Chief Financial Officer, assessed the control effectiveness as of December 31, 2025. Based upon this assessment, management has concluded that the Company’s internal control over financial reporting was effective as of December 31, 2025.</w:t>
      </w:r>
    </w:p>
    <w:p>
      <w:pPr>
        <w:spacing w:after="0" w:line="18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This Annual Report on Form 10-K does not include an attestation report of our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this Annual Report on Form 10-K.</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780"/>
          </w:cols>
          <w:pgMar w:left="540" w:top="746" w:right="5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Disclosure of 10b5-1 plans</w:t>
      </w:r>
    </w:p>
    <w:p>
      <w:pPr>
        <w:spacing w:after="0" w:line="118"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31F20"/>
        </w:rPr>
        <w:t>During the fiscal quarter ended December 31, 2025, none of our directors or officers informed us of the adoption, modification or termination of a “Rule 10b5-1 trading arrangement” or “non-Rule 10b5-1 trading arrangement,” as those terms are defined in Regulation S-K, Item 408.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Rule 10b5-1 Trading Plans of the Company</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On June 9, 2025, the Company entered into a Rule 10b5-1 and Rule 10b-18 Repurchase Plan (the “10b5-1 Plan”) under our prior share repurchase program and, on September 15, 2025, the Company elected to terminate this 10b5-1 Plan in accordance with its terms. The 10b5-1 Plan was intended to satisfy the affirmative defense conditions of Exchange Act Rule 10b5-1(c) and authorized the purchase of up to 406,568 shares of our Common Stock. During the year ended September 30, 2025, we purchased 53,612 shares of our Common Stock under the 10b5-1 Plan for an average price of $7.80 per share.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760"/>
          </w:cols>
          <w:pgMar w:left="540" w:top="746"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760"/>
          </w:cols>
          <w:pgMar w:left="540" w:top="746" w:right="580" w:bottom="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Incorporation by reference</w:t>
      </w:r>
    </w:p>
    <w:p>
      <w:pPr>
        <w:spacing w:after="0" w:line="11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Information required by this Item, not set forth below, is incorporated herein by reference from the Company’s definitive proxy statement relating to the Annual Meeting of Shareholders scheduled for May 13, 2026, which will be filed with the Commission within 120 days after the close of the Company’s fiscal year ended December 31, 2025 (the “Proxy Statement”) under the headings “Proposal No. 1 — Election of Directors”, “Executive Officers”, “Delinquent Section 16(A) Reports” and “Board Committees and Meetings”.</w:t>
      </w:r>
    </w:p>
    <w:p>
      <w:pPr>
        <w:spacing w:after="0" w:line="3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Code of Ethics</w:t>
      </w:r>
    </w:p>
    <w:p>
      <w:pPr>
        <w:spacing w:after="0" w:line="118"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We have adopted a code of ethics applicable to all of our employees, including our principal executive officer, principal financial officer and principal accounting officer, titled Code of Conduct Policy. The Code of Conduct Policy is posted on the Company’s website, </w:t>
      </w:r>
      <w:r>
        <w:rPr>
          <w:rFonts w:ascii="Times New Roman" w:cs="Times New Roman" w:eastAsia="Times New Roman" w:hAnsi="Times New Roman"/>
          <w:sz w:val="20"/>
          <w:szCs w:val="20"/>
          <w:i w:val="1"/>
          <w:iCs w:val="1"/>
          <w:color w:val="231F20"/>
        </w:rPr>
        <w:t>www.mastechdigital.com</w:t>
      </w:r>
      <w:r>
        <w:rPr>
          <w:rFonts w:ascii="Times New Roman" w:cs="Times New Roman" w:eastAsia="Times New Roman" w:hAnsi="Times New Roman"/>
          <w:sz w:val="20"/>
          <w:szCs w:val="20"/>
          <w:color w:val="231F20"/>
        </w:rPr>
        <w:t xml:space="preserve"> (under the “Corporate Governance” caption of the Investor Relations page). The Company intends to satisfy the disclosure requirement regarding certain amendments to, or waivers from, provisions of its code of ethics by posting such information on the Company’s website.</w:t>
      </w:r>
    </w:p>
    <w:p>
      <w:pPr>
        <w:spacing w:after="0" w:line="3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Insider trading policies and procedures</w:t>
      </w:r>
    </w:p>
    <w:p>
      <w:pPr>
        <w:spacing w:after="0" w:line="11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The Company has adopted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the listing standards applicable to the Company (the “Insider Trading Policy”). The Company’s Insider Trading Policy is filed as Exhibit 19.1 to this Annual Report on Form 10-K.</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the Proxy Statement under the headings “Compensation Discussion And Analysis”, “Summary Compensation Table”, “Grants Of Plan-Based Awards”, “Outstanding Equity Awards At Fiscal Year-End”, “Potential Payments Upon Termination Or Change In Control”, “Option Exercises And Stock Vested” and “Director Compensation”.</w:t>
      </w:r>
    </w:p>
    <w:p>
      <w:pPr>
        <w:spacing w:after="0" w:line="31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SHAREHOLDER MATTERS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Securities Authorized for Issuance Under Equity Compensation Plans</w:t>
      </w:r>
    </w:p>
    <w:p>
      <w:pPr>
        <w:spacing w:after="0" w:line="118"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hereby incorporated by reference to the Proxy Statement under the heading “Equity Compensation Plan Information”.</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i w:val="1"/>
          <w:iCs w:val="1"/>
          <w:color w:val="231F20"/>
        </w:rPr>
        <w:t>Security Ownership of Certain Beneficial Owners and Management</w:t>
      </w:r>
    </w:p>
    <w:p>
      <w:pPr>
        <w:spacing w:after="0" w:line="11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hereby incorporated by reference to the Proxy Statement under the headings “Security Ownership of Certain Beneficial Owners and Management”.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24"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hereby incorporated by reference to the Proxy Statement under the headings “Board Committees and Meetings” and “Policies and Procedures for Approving Related Person Transactions”.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24" w:lineRule="exact"/>
        <w:rPr>
          <w:sz w:val="20"/>
          <w:szCs w:val="20"/>
          <w:color w:val="auto"/>
        </w:rPr>
      </w:pPr>
    </w:p>
    <w:p>
      <w:pPr>
        <w:ind w:right="1020" w:firstLine="49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hereby incorporated by reference to the Proxy Statement under the heading “Independent Registered Public Accountants”.</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780"/>
          </w:cols>
          <w:pgMar w:left="540" w:top="746" w:right="560" w:bottom="0" w:gutter="0" w:footer="0" w:header="0"/>
          <w:type w:val="continuous"/>
        </w:sectPr>
      </w:pPr>
    </w:p>
    <w:bookmarkStart w:id="82" w:name="page83"/>
    <w:bookmarkEnd w:id="82"/>
    <w:p>
      <w:pPr>
        <w:jc w:val="center"/>
        <w:ind w:right="-25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15..EXHIBITS AND FINANCIAL STATEMENT SCHEDULES</w:t>
      </w:r>
    </w:p>
    <w:p>
      <w:pPr>
        <w:spacing w:after="0" w:line="126" w:lineRule="exact"/>
        <w:rPr>
          <w:sz w:val="20"/>
          <w:szCs w:val="20"/>
          <w:color w:val="auto"/>
        </w:rPr>
      </w:pPr>
    </w:p>
    <w:p>
      <w:pPr>
        <w:ind w:left="700" w:hanging="210"/>
        <w:spacing w:after="0"/>
        <w:tabs>
          <w:tab w:leader="none" w:pos="70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Financial Statements</w:t>
      </w:r>
    </w:p>
    <w:p>
      <w:pPr>
        <w:spacing w:after="0" w:line="11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The following Consolidated Financial Statements of the registrant and its subsidiaries are included on pages 41 to 66 and the reports of Independent Registered Public Accounting Firm are included on pages 39 and 40 in this Annual Report on Form 10-K.</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535355"/>
        </w:rPr>
        <w:t>Reports of Independent Registered Public Accounting Firm.</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535355"/>
        </w:rPr>
        <w:t>Consolidated Balance Sheets — December 31, 2025 and 2024.</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535355"/>
        </w:rPr>
        <w:t>Consolidated Statements of Operations — Years ended December 31, 2025, 2024 and 2023</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535355"/>
        </w:rPr>
        <w:t>Consolidated Statements of Comprehensive Income (Loss) — Years ended December 31, 2025, 2024 and 2023.</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535355"/>
        </w:rPr>
        <w:t>Consolidated Statements of Shareholders’ Equity — Years ended December 31, 2025, 2024 and 2023</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535355"/>
        </w:rPr>
        <w:t>Consolidated Statements of Cash Flows — Years ended December 31, 2025, 2024 and 2023.</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535355"/>
        </w:rPr>
        <w:t>Notes to Consolidated Financial Statements</w:t>
      </w:r>
    </w:p>
    <w:p>
      <w:pPr>
        <w:spacing w:after="0" w:line="200" w:lineRule="exact"/>
        <w:rPr>
          <w:sz w:val="20"/>
          <w:szCs w:val="20"/>
          <w:color w:val="auto"/>
        </w:rPr>
      </w:pPr>
    </w:p>
    <w:p>
      <w:pPr>
        <w:spacing w:after="0" w:line="238" w:lineRule="exact"/>
        <w:rPr>
          <w:sz w:val="20"/>
          <w:szCs w:val="20"/>
          <w:color w:val="auto"/>
        </w:rPr>
      </w:pPr>
    </w:p>
    <w:p>
      <w:pPr>
        <w:ind w:left="700" w:hanging="210"/>
        <w:spacing w:after="0"/>
        <w:tabs>
          <w:tab w:leader="none" w:pos="700" w:val="left"/>
        </w:tabs>
        <w:numPr>
          <w:ilvl w:val="0"/>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Consolidated Financial Statement Schedules</w:t>
      </w:r>
    </w:p>
    <w:p>
      <w:pPr>
        <w:spacing w:after="0" w:line="118"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231F20"/>
        </w:rPr>
        <w:t>The following Consolidated Financial Statement schedules shown below should be read in conjunction with the Consolidated Financial Statements on pages 41 to 66 in this Annual Report on Form 10-K. All other schedules are omitted because they are not applicable or not required or the required information is shown in the Consolidated Financial Statements or notes thereto.</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items appear immediately on the following page:</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Financial Statement Schedules: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Schedule II — Valuation and Qualifying Accounts for the years ended December 31, 2025, 2024 and 2023.</w:t>
      </w:r>
    </w:p>
    <w:p>
      <w:pPr>
        <w:spacing w:after="0" w:line="362" w:lineRule="exact"/>
        <w:rPr>
          <w:sz w:val="20"/>
          <w:szCs w:val="20"/>
          <w:color w:val="auto"/>
        </w:rPr>
      </w:pPr>
    </w:p>
    <w:p>
      <w:pPr>
        <w:ind w:left="700" w:hanging="210"/>
        <w:spacing w:after="0"/>
        <w:tabs>
          <w:tab w:leader="none" w:pos="70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Exhibits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Exhibits required by Item 601 of Regulation S-K are listed in the Exhibit Index, which is incorporated herein by reference.</w:t>
      </w:r>
    </w:p>
    <w:p>
      <w:pPr>
        <w:sectPr>
          <w:pgSz w:w="11880" w:h="15480" w:orient="portrait"/>
          <w:cols w:equalWidth="0" w:num="1">
            <w:col w:w="10540"/>
          </w:cols>
          <w:pgMar w:left="540" w:top="7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540"/>
          </w:cols>
          <w:pgMar w:left="540" w:top="746" w:right="80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231F20"/>
        </w:rPr>
        <w:t>MASTECH DIGITAL, INC.</w:t>
      </w:r>
    </w:p>
    <w:p>
      <w:pPr>
        <w:spacing w:after="0" w:line="32"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0"/>
          <w:szCs w:val="20"/>
          <w:b w:val="1"/>
          <w:bCs w:val="1"/>
          <w:color w:val="231F20"/>
        </w:rPr>
        <w:t>SCHEDULE II — VALUATION AND QUALIFYING ACCOUNTS FOR THE YEARS ENDED DECEMBER 31, 2025, 2024 AND 2023 (Amounts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Balance at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Charged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w w:val="99"/>
              </w:rPr>
              <w:t>Balance</w:t>
            </w:r>
          </w:p>
        </w:tc>
      </w:tr>
      <w:tr>
        <w:trPr>
          <w:trHeight w:val="18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beginning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to expense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Recoveries/</w:t>
            </w: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w w:val="99"/>
              </w:rPr>
              <w:t>at end</w:t>
            </w: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231F20"/>
              </w:rPr>
              <w:t>of period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(credited)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(Write-offs)</w:t>
            </w: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231F20"/>
              </w:rPr>
              <w:t>of period</w:t>
            </w:r>
          </w:p>
        </w:tc>
      </w:tr>
      <w:tr>
        <w:trPr>
          <w:trHeight w:val="239"/>
        </w:trPr>
        <w:tc>
          <w:tcPr>
            <w:tcW w:w="4900" w:type="dxa"/>
            <w:vAlign w:val="bottom"/>
            <w:tcBorders>
              <w:top w:val="single" w:sz="8" w:color="E6E7E8"/>
            </w:tcBorders>
            <w:shd w:val="clear" w:color="auto" w:fill="E6E7E8"/>
          </w:tcPr>
          <w:p>
            <w:pPr>
              <w:spacing w:after="0"/>
              <w:rPr>
                <w:sz w:val="20"/>
                <w:szCs w:val="20"/>
                <w:color w:val="auto"/>
              </w:rPr>
            </w:pPr>
            <w:r>
              <w:rPr>
                <w:rFonts w:ascii="Times New Roman" w:cs="Times New Roman" w:eastAsia="Times New Roman" w:hAnsi="Times New Roman"/>
                <w:sz w:val="20"/>
                <w:szCs w:val="20"/>
                <w:b w:val="1"/>
                <w:bCs w:val="1"/>
                <w:color w:val="231F20"/>
              </w:rPr>
              <w:t>Allowance for Credit Losses:</w:t>
            </w:r>
          </w:p>
        </w:tc>
        <w:tc>
          <w:tcPr>
            <w:tcW w:w="120" w:type="dxa"/>
            <w:vAlign w:val="bottom"/>
            <w:tcBorders>
              <w:top w:val="single" w:sz="8" w:color="231F20"/>
            </w:tcBorders>
            <w:shd w:val="clear" w:color="auto" w:fill="E6E7E8"/>
          </w:tcPr>
          <w:p>
            <w:pPr>
              <w:spacing w:after="0"/>
              <w:rPr>
                <w:sz w:val="20"/>
                <w:szCs w:val="20"/>
                <w:color w:val="auto"/>
              </w:rPr>
            </w:pPr>
          </w:p>
        </w:tc>
        <w:tc>
          <w:tcPr>
            <w:tcW w:w="100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120" w:type="dxa"/>
            <w:vAlign w:val="bottom"/>
            <w:tcBorders>
              <w:top w:val="single" w:sz="8" w:color="231F20"/>
            </w:tcBorders>
            <w:shd w:val="clear" w:color="auto" w:fill="E6E7E8"/>
          </w:tcPr>
          <w:p>
            <w:pPr>
              <w:spacing w:after="0"/>
              <w:rPr>
                <w:sz w:val="20"/>
                <w:szCs w:val="20"/>
                <w:color w:val="auto"/>
              </w:rPr>
            </w:pPr>
          </w:p>
        </w:tc>
        <w:tc>
          <w:tcPr>
            <w:tcW w:w="100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100" w:type="dxa"/>
            <w:vAlign w:val="bottom"/>
            <w:tcBorders>
              <w:top w:val="single" w:sz="8" w:color="231F20"/>
            </w:tcBorders>
            <w:shd w:val="clear" w:color="auto" w:fill="E6E7E8"/>
          </w:tcPr>
          <w:p>
            <w:pPr>
              <w:spacing w:after="0"/>
              <w:rPr>
                <w:sz w:val="20"/>
                <w:szCs w:val="20"/>
                <w:color w:val="auto"/>
              </w:rPr>
            </w:pPr>
          </w:p>
        </w:tc>
        <w:tc>
          <w:tcPr>
            <w:tcW w:w="1020" w:type="dxa"/>
            <w:vAlign w:val="bottom"/>
            <w:tcBorders>
              <w:top w:val="single" w:sz="8" w:color="231F20"/>
            </w:tcBorders>
            <w:shd w:val="clear" w:color="auto" w:fill="E6E7E8"/>
          </w:tcPr>
          <w:p>
            <w:pPr>
              <w:spacing w:after="0"/>
              <w:rPr>
                <w:sz w:val="20"/>
                <w:szCs w:val="20"/>
                <w:color w:val="auto"/>
              </w:rPr>
            </w:pPr>
          </w:p>
        </w:tc>
        <w:tc>
          <w:tcPr>
            <w:tcW w:w="120" w:type="dxa"/>
            <w:vAlign w:val="bottom"/>
            <w:tcBorders>
              <w:top w:val="single" w:sz="8" w:color="E6E7E8"/>
            </w:tcBorders>
            <w:shd w:val="clear" w:color="auto" w:fill="E6E7E8"/>
          </w:tcPr>
          <w:p>
            <w:pPr>
              <w:spacing w:after="0"/>
              <w:rPr>
                <w:sz w:val="20"/>
                <w:szCs w:val="20"/>
                <w:color w:val="auto"/>
              </w:rPr>
            </w:pPr>
          </w:p>
        </w:tc>
        <w:tc>
          <w:tcPr>
            <w:tcW w:w="160" w:type="dxa"/>
            <w:vAlign w:val="bottom"/>
            <w:tcBorders>
              <w:top w:val="single" w:sz="8" w:color="231F20"/>
            </w:tcBorders>
            <w:shd w:val="clear" w:color="auto" w:fill="E6E7E8"/>
          </w:tcPr>
          <w:p>
            <w:pPr>
              <w:spacing w:after="0"/>
              <w:rPr>
                <w:sz w:val="20"/>
                <w:szCs w:val="20"/>
                <w:color w:val="auto"/>
              </w:rPr>
            </w:pPr>
          </w:p>
        </w:tc>
        <w:tc>
          <w:tcPr>
            <w:tcW w:w="940" w:type="dxa"/>
            <w:vAlign w:val="bottom"/>
            <w:tcBorders>
              <w:top w:val="single" w:sz="8" w:color="231F20"/>
            </w:tcBorders>
            <w:shd w:val="clear" w:color="auto" w:fill="E6E7E8"/>
          </w:tcPr>
          <w:p>
            <w:pPr>
              <w:spacing w:after="0"/>
              <w:rPr>
                <w:sz w:val="20"/>
                <w:szCs w:val="20"/>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Year ended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311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w:t>
            </w:r>
          </w:p>
        </w:tc>
      </w:tr>
      <w:tr>
        <w:trPr>
          <w:trHeight w:val="244"/>
        </w:trPr>
        <w:tc>
          <w:tcPr>
            <w:tcW w:w="4900" w:type="dxa"/>
            <w:vAlign w:val="bottom"/>
            <w:shd w:val="clear" w:color="auto" w:fill="E6E7E8"/>
          </w:tcPr>
          <w:p>
            <w:pPr>
              <w:spacing w:after="0"/>
              <w:rPr>
                <w:sz w:val="20"/>
                <w:szCs w:val="20"/>
                <w:color w:val="auto"/>
              </w:rPr>
            </w:pPr>
            <w:r>
              <w:rPr>
                <w:rFonts w:ascii="Times New Roman" w:cs="Times New Roman" w:eastAsia="Times New Roman" w:hAnsi="Times New Roman"/>
                <w:sz w:val="20"/>
                <w:szCs w:val="20"/>
                <w:color w:val="231F20"/>
              </w:rPr>
              <w:t>Year ended December 31, 2024</w:t>
            </w:r>
          </w:p>
        </w:tc>
        <w:tc>
          <w:tcPr>
            <w:tcW w:w="120" w:type="dxa"/>
            <w:vAlign w:val="bottom"/>
            <w:shd w:val="clear" w:color="auto" w:fill="E6E7E8"/>
          </w:tcPr>
          <w:p>
            <w:pPr>
              <w:spacing w:after="0"/>
              <w:rPr>
                <w:sz w:val="21"/>
                <w:szCs w:val="21"/>
                <w:color w:val="auto"/>
              </w:rPr>
            </w:pPr>
          </w:p>
        </w:tc>
        <w:tc>
          <w:tcPr>
            <w:tcW w:w="1000" w:type="dxa"/>
            <w:vAlign w:val="bottom"/>
            <w:shd w:val="clear" w:color="auto" w:fill="E6E7E8"/>
          </w:tcPr>
          <w:p>
            <w:pPr>
              <w:jc w:val="right"/>
              <w:ind w:right="10"/>
              <w:spacing w:after="0"/>
              <w:rPr>
                <w:sz w:val="20"/>
                <w:szCs w:val="20"/>
                <w:color w:val="auto"/>
              </w:rPr>
            </w:pPr>
            <w:r>
              <w:rPr>
                <w:rFonts w:ascii="Times New Roman" w:cs="Times New Roman" w:eastAsia="Times New Roman" w:hAnsi="Times New Roman"/>
                <w:sz w:val="20"/>
                <w:szCs w:val="20"/>
                <w:color w:val="231F20"/>
              </w:rPr>
              <w:t>528</w:t>
            </w:r>
          </w:p>
        </w:tc>
        <w:tc>
          <w:tcPr>
            <w:tcW w:w="120" w:type="dxa"/>
            <w:vAlign w:val="bottom"/>
            <w:shd w:val="clear" w:color="auto" w:fill="E6E7E8"/>
          </w:tcPr>
          <w:p>
            <w:pPr>
              <w:spacing w:after="0"/>
              <w:rPr>
                <w:sz w:val="21"/>
                <w:szCs w:val="21"/>
                <w:color w:val="auto"/>
              </w:rPr>
            </w:pPr>
          </w:p>
        </w:tc>
        <w:tc>
          <w:tcPr>
            <w:tcW w:w="120" w:type="dxa"/>
            <w:vAlign w:val="bottom"/>
            <w:shd w:val="clear" w:color="auto" w:fill="E6E7E8"/>
          </w:tcPr>
          <w:p>
            <w:pPr>
              <w:spacing w:after="0"/>
              <w:rPr>
                <w:sz w:val="21"/>
                <w:szCs w:val="21"/>
                <w:color w:val="auto"/>
              </w:rPr>
            </w:pPr>
          </w:p>
        </w:tc>
        <w:tc>
          <w:tcPr>
            <w:tcW w:w="100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120" w:type="dxa"/>
            <w:vAlign w:val="bottom"/>
            <w:shd w:val="clear" w:color="auto" w:fill="E6E7E8"/>
          </w:tcPr>
          <w:p>
            <w:pPr>
              <w:spacing w:after="0"/>
              <w:rPr>
                <w:sz w:val="21"/>
                <w:szCs w:val="21"/>
                <w:color w:val="auto"/>
              </w:rPr>
            </w:pPr>
          </w:p>
        </w:tc>
        <w:tc>
          <w:tcPr>
            <w:tcW w:w="100" w:type="dxa"/>
            <w:vAlign w:val="bottom"/>
            <w:shd w:val="clear" w:color="auto" w:fill="E6E7E8"/>
          </w:tcPr>
          <w:p>
            <w:pPr>
              <w:spacing w:after="0"/>
              <w:rPr>
                <w:sz w:val="21"/>
                <w:szCs w:val="21"/>
                <w:color w:val="auto"/>
              </w:rPr>
            </w:pPr>
          </w:p>
        </w:tc>
        <w:tc>
          <w:tcPr>
            <w:tcW w:w="1300" w:type="dxa"/>
            <w:vAlign w:val="bottom"/>
            <w:gridSpan w:val="3"/>
            <w:shd w:val="clear" w:color="auto" w:fill="E6E7E8"/>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6E7E8"/>
          </w:tcPr>
          <w:p>
            <w:pPr>
              <w:jc w:val="right"/>
              <w:spacing w:after="0"/>
              <w:rPr>
                <w:sz w:val="20"/>
                <w:szCs w:val="20"/>
                <w:color w:val="auto"/>
              </w:rPr>
            </w:pPr>
            <w:r>
              <w:rPr>
                <w:rFonts w:ascii="Times New Roman" w:cs="Times New Roman" w:eastAsia="Times New Roman" w:hAnsi="Times New Roman"/>
                <w:sz w:val="20"/>
                <w:szCs w:val="20"/>
                <w:color w:val="231F20"/>
              </w:rPr>
              <w:t>311</w:t>
            </w:r>
          </w:p>
        </w:tc>
      </w:tr>
      <w:tr>
        <w:trPr>
          <w:trHeight w:val="266"/>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Year ended December 31, 2023</w:t>
            </w:r>
          </w:p>
        </w:tc>
        <w:tc>
          <w:tcPr>
            <w:tcW w:w="1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231F20"/>
              </w:rPr>
              <w:t>444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114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528</w:t>
            </w:r>
          </w:p>
        </w:tc>
      </w:tr>
    </w:tbl>
    <w:p>
      <w:pPr>
        <w:spacing w:after="0" w:line="200" w:lineRule="exact"/>
        <w:rPr>
          <w:sz w:val="20"/>
          <w:szCs w:val="20"/>
          <w:color w:val="auto"/>
        </w:rPr>
      </w:pPr>
    </w:p>
    <w:p>
      <w:pPr>
        <w:sectPr>
          <w:pgSz w:w="11880" w:h="15480" w:orient="portrait"/>
          <w:cols w:equalWidth="0" w:num="1">
            <w:col w:w="9720"/>
          </w:cols>
          <w:pgMar w:left="1080" w:top="74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720"/>
          </w:cols>
          <w:pgMar w:left="1080" w:top="746" w:right="1080" w:bottom="0" w:gutter="0" w:footer="0" w:header="0"/>
          <w:type w:val="continuous"/>
        </w:sectPr>
      </w:pPr>
    </w:p>
    <w:bookmarkStart w:id="84" w:name="page85"/>
    <w:bookmarkEnd w:id="84"/>
    <w:p>
      <w:pPr>
        <w:ind w:left="80"/>
        <w:spacing w:after="0"/>
        <w:tabs>
          <w:tab w:leader="none" w:pos="4880" w:val="left"/>
        </w:tabs>
        <w:rPr>
          <w:sz w:val="20"/>
          <w:szCs w:val="20"/>
          <w:color w:val="auto"/>
        </w:rPr>
      </w:pPr>
      <w:r>
        <w:rPr>
          <w:rFonts w:ascii="Times New Roman" w:cs="Times New Roman" w:eastAsia="Times New Roman" w:hAnsi="Times New Roman"/>
          <w:sz w:val="16"/>
          <w:szCs w:val="16"/>
          <w:b w:val="1"/>
          <w:bCs w:val="1"/>
          <w:color w:val="231F20"/>
        </w:rPr>
        <w:t>Exhibit</w:t>
      </w:r>
      <w:r>
        <w:rPr>
          <w:sz w:val="20"/>
          <w:szCs w:val="20"/>
          <w:color w:val="auto"/>
        </w:rPr>
        <w:tab/>
      </w:r>
      <w:r>
        <w:rPr>
          <w:rFonts w:ascii="Times New Roman" w:cs="Times New Roman" w:eastAsia="Times New Roman" w:hAnsi="Times New Roman"/>
          <w:sz w:val="16"/>
          <w:szCs w:val="16"/>
          <w:b w:val="1"/>
          <w:bCs w:val="1"/>
          <w:color w:val="231F20"/>
        </w:rPr>
        <w:t>(Index Description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-63500</wp:posOffset>
                </wp:positionH>
                <wp:positionV relativeFrom="paragraph">
                  <wp:posOffset>15240</wp:posOffset>
                </wp:positionV>
                <wp:extent cx="54800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00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pt,1.2pt" to="38.15pt,1.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622300</wp:posOffset>
                </wp:positionH>
                <wp:positionV relativeFrom="paragraph">
                  <wp:posOffset>15240</wp:posOffset>
                </wp:positionV>
                <wp:extent cx="61722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pt,1.2pt" to="535pt,1.2pt" o:allowincell="f" strokecolor="#231F20" strokeweight="0.5pt"/>
            </w:pict>
          </mc:Fallback>
        </mc:AlternateContent>
      </w:r>
    </w:p>
    <w:p>
      <w:pPr>
        <w:spacing w:after="0" w:line="128" w:lineRule="exact"/>
        <w:rPr>
          <w:sz w:val="20"/>
          <w:szCs w:val="20"/>
          <w:color w:val="auto"/>
        </w:rPr>
      </w:pPr>
    </w:p>
    <w:p>
      <w:pPr>
        <w:ind w:left="980" w:right="120" w:hanging="879"/>
        <w:spacing w:after="0" w:line="258" w:lineRule="auto"/>
        <w:tabs>
          <w:tab w:leader="none" w:pos="960" w:val="left"/>
        </w:tabs>
        <w:rPr>
          <w:sz w:val="20"/>
          <w:szCs w:val="20"/>
          <w:color w:val="auto"/>
        </w:rPr>
      </w:pPr>
      <w:r>
        <w:rPr>
          <w:rFonts w:ascii="Times New Roman" w:cs="Times New Roman" w:eastAsia="Times New Roman" w:hAnsi="Times New Roman"/>
          <w:sz w:val="20"/>
          <w:szCs w:val="20"/>
          <w:color w:val="231F20"/>
        </w:rPr>
        <w:t>2.1</w:t>
      </w:r>
      <w:r>
        <w:rPr>
          <w:sz w:val="20"/>
          <w:szCs w:val="20"/>
          <w:color w:val="auto"/>
        </w:rPr>
        <w:tab/>
      </w:r>
      <w:r>
        <w:rPr>
          <w:rFonts w:ascii="Times New Roman" w:cs="Times New Roman" w:eastAsia="Times New Roman" w:hAnsi="Times New Roman"/>
          <w:sz w:val="20"/>
          <w:szCs w:val="20"/>
          <w:color w:val="231F20"/>
        </w:rPr>
        <w:t>Asset Purchase Agreement, dated July 7, 2017, by and among Mahmood Abbas, Zahid Naeem, Sachin Wadhwa, InfoTrellis Inc. and Mastech InfoTrellis Digital, Ltd., incorporated by reference to Exhibit 2.1 to Mastech Digital, Inc.’s Current Report on Form 8-K, filed with the SEC on July 13, 2017</w:t>
      </w:r>
    </w:p>
    <w:p>
      <w:pPr>
        <w:spacing w:after="0" w:line="86" w:lineRule="exact"/>
        <w:rPr>
          <w:sz w:val="20"/>
          <w:szCs w:val="20"/>
          <w:color w:val="auto"/>
        </w:rPr>
      </w:pPr>
    </w:p>
    <w:p>
      <w:pPr>
        <w:ind w:left="980" w:right="80" w:hanging="879"/>
        <w:spacing w:after="0" w:line="258" w:lineRule="auto"/>
        <w:tabs>
          <w:tab w:leader="none" w:pos="960" w:val="left"/>
        </w:tabs>
        <w:rPr>
          <w:sz w:val="20"/>
          <w:szCs w:val="20"/>
          <w:color w:val="auto"/>
        </w:rPr>
      </w:pPr>
      <w:r>
        <w:rPr>
          <w:rFonts w:ascii="Times New Roman" w:cs="Times New Roman" w:eastAsia="Times New Roman" w:hAnsi="Times New Roman"/>
          <w:sz w:val="20"/>
          <w:szCs w:val="20"/>
          <w:color w:val="231F20"/>
        </w:rPr>
        <w:t>2.2</w:t>
      </w:r>
      <w:r>
        <w:rPr>
          <w:sz w:val="20"/>
          <w:szCs w:val="20"/>
          <w:color w:val="auto"/>
        </w:rPr>
        <w:tab/>
      </w:r>
      <w:r>
        <w:rPr>
          <w:rFonts w:ascii="Times New Roman" w:cs="Times New Roman" w:eastAsia="Times New Roman" w:hAnsi="Times New Roman"/>
          <w:sz w:val="20"/>
          <w:szCs w:val="20"/>
          <w:color w:val="231F20"/>
        </w:rPr>
        <w:t>Asset Purchase Agreement, dated July 7, 2017, by and among Mahmood Abbas, Zahid Naeem, Sachin Wadhwa, InfoTrellis Inc. and Mastech InfoTrellis, Inc., incorporated by reference to Exhibit 2.2 to Mastech Digital, Inc.’s Current Report on Form 8-K, filed with the SEC on July 13, 2017</w:t>
      </w:r>
    </w:p>
    <w:p>
      <w:pPr>
        <w:spacing w:after="0" w:line="86" w:lineRule="exact"/>
        <w:rPr>
          <w:sz w:val="20"/>
          <w:szCs w:val="20"/>
          <w:color w:val="auto"/>
        </w:rPr>
      </w:pPr>
    </w:p>
    <w:p>
      <w:pPr>
        <w:ind w:left="980" w:right="120" w:hanging="879"/>
        <w:spacing w:after="0" w:line="258" w:lineRule="auto"/>
        <w:tabs>
          <w:tab w:leader="none" w:pos="960" w:val="left"/>
        </w:tabs>
        <w:rPr>
          <w:sz w:val="20"/>
          <w:szCs w:val="20"/>
          <w:color w:val="auto"/>
        </w:rPr>
      </w:pPr>
      <w:r>
        <w:rPr>
          <w:rFonts w:ascii="Times New Roman" w:cs="Times New Roman" w:eastAsia="Times New Roman" w:hAnsi="Times New Roman"/>
          <w:sz w:val="20"/>
          <w:szCs w:val="20"/>
          <w:color w:val="231F20"/>
        </w:rPr>
        <w:t>2.3</w:t>
      </w:r>
      <w:r>
        <w:rPr>
          <w:sz w:val="20"/>
          <w:szCs w:val="20"/>
          <w:color w:val="auto"/>
        </w:rPr>
        <w:tab/>
      </w:r>
      <w:r>
        <w:rPr>
          <w:rFonts w:ascii="Times New Roman" w:cs="Times New Roman" w:eastAsia="Times New Roman" w:hAnsi="Times New Roman"/>
          <w:sz w:val="20"/>
          <w:szCs w:val="20"/>
          <w:color w:val="231F20"/>
        </w:rPr>
        <w:t>Share Purchase Agreement, dated July 7, 2017, by and amongst Mastech Digital Data, Inc., 2291496 Ontario Inc., InfoTrellis India Private Limited, Mastech Digital Private Limited and Kumaran Sasikanthan, incorporated by reference to Exhibit 2.3 to Mastech Digital, Inc.’s Current Report on Form 8-K, filed with the SEC on July 13, 2017</w:t>
      </w:r>
    </w:p>
    <w:p>
      <w:pPr>
        <w:spacing w:after="0" w:line="86" w:lineRule="exact"/>
        <w:rPr>
          <w:sz w:val="20"/>
          <w:szCs w:val="20"/>
          <w:color w:val="auto"/>
        </w:rPr>
      </w:pPr>
    </w:p>
    <w:p>
      <w:pPr>
        <w:ind w:left="980" w:right="100" w:hanging="879"/>
        <w:spacing w:after="0" w:line="258" w:lineRule="auto"/>
        <w:tabs>
          <w:tab w:leader="none" w:pos="960" w:val="left"/>
        </w:tabs>
        <w:rPr>
          <w:sz w:val="20"/>
          <w:szCs w:val="20"/>
          <w:color w:val="auto"/>
        </w:rPr>
      </w:pPr>
      <w:r>
        <w:rPr>
          <w:rFonts w:ascii="Times New Roman" w:cs="Times New Roman" w:eastAsia="Times New Roman" w:hAnsi="Times New Roman"/>
          <w:sz w:val="20"/>
          <w:szCs w:val="20"/>
          <w:color w:val="231F20"/>
        </w:rPr>
        <w:t>2.4</w:t>
      </w:r>
      <w:r>
        <w:rPr>
          <w:sz w:val="20"/>
          <w:szCs w:val="20"/>
          <w:color w:val="auto"/>
        </w:rPr>
        <w:tab/>
      </w:r>
      <w:r>
        <w:rPr>
          <w:rFonts w:ascii="Times New Roman" w:cs="Times New Roman" w:eastAsia="Times New Roman" w:hAnsi="Times New Roman"/>
          <w:sz w:val="20"/>
          <w:szCs w:val="20"/>
          <w:color w:val="231F20"/>
        </w:rPr>
        <w:t>Share Purchase Agreement, dated October 1, 2020, by and among Mastech Digital Data, Inc., AmberLeaf Partners, Inc., and its shareholders, Lawrence F. Goldman and Don Steffen, incorporated by reference to Exhibit 10.1 to Mastech Digital, Inc.’s Current Report on Form 8-K, filed with the SEC on October 6, 2020</w:t>
      </w:r>
    </w:p>
    <w:p>
      <w:pPr>
        <w:spacing w:after="0" w:line="86" w:lineRule="exact"/>
        <w:rPr>
          <w:sz w:val="20"/>
          <w:szCs w:val="20"/>
          <w:color w:val="auto"/>
        </w:rPr>
      </w:pPr>
    </w:p>
    <w:p>
      <w:pPr>
        <w:ind w:left="980" w:right="360" w:hanging="879"/>
        <w:spacing w:after="0" w:line="277" w:lineRule="auto"/>
        <w:tabs>
          <w:tab w:leader="none" w:pos="960" w:val="left"/>
        </w:tabs>
        <w:rPr>
          <w:sz w:val="20"/>
          <w:szCs w:val="20"/>
          <w:color w:val="auto"/>
        </w:rPr>
      </w:pPr>
      <w:r>
        <w:rPr>
          <w:rFonts w:ascii="Times New Roman" w:cs="Times New Roman" w:eastAsia="Times New Roman" w:hAnsi="Times New Roman"/>
          <w:sz w:val="20"/>
          <w:szCs w:val="20"/>
          <w:color w:val="231F20"/>
        </w:rPr>
        <w:t>3.1</w:t>
      </w:r>
      <w:r>
        <w:rPr>
          <w:sz w:val="20"/>
          <w:szCs w:val="20"/>
          <w:color w:val="auto"/>
        </w:rPr>
        <w:tab/>
      </w:r>
      <w:r>
        <w:rPr>
          <w:rFonts w:ascii="Times New Roman" w:cs="Times New Roman" w:eastAsia="Times New Roman" w:hAnsi="Times New Roman"/>
          <w:sz w:val="20"/>
          <w:szCs w:val="20"/>
          <w:color w:val="231F20"/>
        </w:rPr>
        <w:t>Amended and Restated Articles of Incorporation of Mastech Digital, Inc., incorporated by reference to Exhibit 3.1 to Mastech Digital, Inc.’s Current Report on Form 8-K filed with the SEC on September 12, 2016</w:t>
      </w:r>
    </w:p>
    <w:p>
      <w:pPr>
        <w:spacing w:after="0" w:line="67" w:lineRule="exact"/>
        <w:rPr>
          <w:sz w:val="20"/>
          <w:szCs w:val="20"/>
          <w:color w:val="auto"/>
        </w:rPr>
      </w:pPr>
    </w:p>
    <w:p>
      <w:pPr>
        <w:ind w:left="980" w:right="360" w:hanging="879"/>
        <w:spacing w:after="0" w:line="277" w:lineRule="auto"/>
        <w:tabs>
          <w:tab w:leader="none" w:pos="960" w:val="left"/>
        </w:tabs>
        <w:rPr>
          <w:sz w:val="20"/>
          <w:szCs w:val="20"/>
          <w:color w:val="auto"/>
        </w:rPr>
      </w:pPr>
      <w:r>
        <w:rPr>
          <w:rFonts w:ascii="Times New Roman" w:cs="Times New Roman" w:eastAsia="Times New Roman" w:hAnsi="Times New Roman"/>
          <w:sz w:val="20"/>
          <w:szCs w:val="20"/>
          <w:color w:val="231F20"/>
        </w:rPr>
        <w:t>3.2</w:t>
      </w:r>
      <w:r>
        <w:rPr>
          <w:sz w:val="20"/>
          <w:szCs w:val="20"/>
          <w:color w:val="auto"/>
        </w:rPr>
        <w:tab/>
      </w:r>
      <w:r>
        <w:rPr>
          <w:rFonts w:ascii="Times New Roman" w:cs="Times New Roman" w:eastAsia="Times New Roman" w:hAnsi="Times New Roman"/>
          <w:sz w:val="20"/>
          <w:szCs w:val="20"/>
          <w:color w:val="231F20"/>
        </w:rPr>
        <w:t>Amended and Restated Bylaws of Mastech Digital, Inc., incorporated by reference to Exhibit 3.2 to Mastech Digital, Inc.’s Current Report on Form 8-K filed with the SEC on September 12, 2016</w:t>
      </w:r>
    </w:p>
    <w:p>
      <w:pPr>
        <w:spacing w:after="0" w:line="67" w:lineRule="exact"/>
        <w:rPr>
          <w:sz w:val="20"/>
          <w:szCs w:val="20"/>
          <w:color w:val="auto"/>
        </w:rPr>
      </w:pPr>
    </w:p>
    <w:p>
      <w:pPr>
        <w:ind w:left="980" w:right="40" w:hanging="879"/>
        <w:spacing w:after="0" w:line="277" w:lineRule="auto"/>
        <w:tabs>
          <w:tab w:leader="none" w:pos="960" w:val="left"/>
        </w:tabs>
        <w:rPr>
          <w:sz w:val="20"/>
          <w:szCs w:val="20"/>
          <w:color w:val="auto"/>
        </w:rPr>
      </w:pPr>
      <w:r>
        <w:rPr>
          <w:rFonts w:ascii="Times New Roman" w:cs="Times New Roman" w:eastAsia="Times New Roman" w:hAnsi="Times New Roman"/>
          <w:sz w:val="20"/>
          <w:szCs w:val="20"/>
          <w:color w:val="231F20"/>
        </w:rPr>
        <w:t>4.1</w:t>
      </w:r>
      <w:r>
        <w:rPr>
          <w:sz w:val="20"/>
          <w:szCs w:val="20"/>
          <w:color w:val="auto"/>
        </w:rPr>
        <w:tab/>
      </w:r>
      <w:r>
        <w:rPr>
          <w:rFonts w:ascii="Times New Roman" w:cs="Times New Roman" w:eastAsia="Times New Roman" w:hAnsi="Times New Roman"/>
          <w:sz w:val="20"/>
          <w:szCs w:val="20"/>
          <w:color w:val="231F20"/>
        </w:rPr>
        <w:t>Form of Common Stock Certificate of Mastech Digital, Inc., incorporated by reference to Exhibit 4.1 to Mastech Digital, Inc.’s Annual Report on Form 10-K filed with the SEC on March 24, 2017</w:t>
      </w:r>
    </w:p>
    <w:p>
      <w:pPr>
        <w:spacing w:after="0" w:line="67" w:lineRule="exact"/>
        <w:rPr>
          <w:sz w:val="20"/>
          <w:szCs w:val="20"/>
          <w:color w:val="auto"/>
        </w:rPr>
      </w:pPr>
    </w:p>
    <w:p>
      <w:pPr>
        <w:ind w:left="980" w:right="60" w:hanging="879"/>
        <w:spacing w:after="0" w:line="249" w:lineRule="auto"/>
        <w:tabs>
          <w:tab w:leader="none" w:pos="960" w:val="left"/>
        </w:tabs>
        <w:rPr>
          <w:sz w:val="20"/>
          <w:szCs w:val="20"/>
          <w:color w:val="auto"/>
        </w:rPr>
      </w:pPr>
      <w:r>
        <w:rPr>
          <w:rFonts w:ascii="Times New Roman" w:cs="Times New Roman" w:eastAsia="Times New Roman" w:hAnsi="Times New Roman"/>
          <w:sz w:val="20"/>
          <w:szCs w:val="20"/>
          <w:color w:val="231F20"/>
        </w:rPr>
        <w:t>4.2</w:t>
      </w:r>
      <w:r>
        <w:rPr>
          <w:sz w:val="20"/>
          <w:szCs w:val="20"/>
          <w:color w:val="auto"/>
        </w:rPr>
        <w:tab/>
      </w:r>
      <w:r>
        <w:rPr>
          <w:rFonts w:ascii="Times New Roman" w:cs="Times New Roman" w:eastAsia="Times New Roman" w:hAnsi="Times New Roman"/>
          <w:sz w:val="20"/>
          <w:szCs w:val="20"/>
          <w:color w:val="231F20"/>
        </w:rPr>
        <w:t>Amended and Restated Registration Rights Agreement, dated September 17, 2020, by and among Mastech Digital, Inc., Ashok Trivedi, in his individual capacity and as trustee of the Ashok K. Trivedi Revocable Trust, STP L.P., Edani L.P., Riveda L.P., Sunil Wadhwani, in his individual capacity and as trustee of The Revocable Declaration of Trust of Sunil Wadhwani, Wadhwani Partners No. 1 L.P. and Wadhwani Partners No. 2 L.P., incorporated by reference to Exhibit 10.1 to Mastech Digital, Inc.’s Current Report on Form 8-K filed with the SEC on September 22, 2020</w:t>
      </w:r>
    </w:p>
    <w:p>
      <w:pPr>
        <w:spacing w:after="0" w:line="95" w:lineRule="exact"/>
        <w:rPr>
          <w:sz w:val="20"/>
          <w:szCs w:val="20"/>
          <w:color w:val="auto"/>
        </w:rPr>
      </w:pPr>
    </w:p>
    <w:p>
      <w:pPr>
        <w:jc w:val="center"/>
        <w:ind w:left="660" w:right="80"/>
        <w:spacing w:after="0" w:line="277" w:lineRule="auto"/>
        <w:rPr>
          <w:sz w:val="20"/>
          <w:szCs w:val="20"/>
          <w:color w:val="auto"/>
        </w:rPr>
      </w:pPr>
      <w:r>
        <w:rPr>
          <w:rFonts w:ascii="Times New Roman" w:cs="Times New Roman" w:eastAsia="Times New Roman" w:hAnsi="Times New Roman"/>
          <w:sz w:val="20"/>
          <w:szCs w:val="20"/>
          <w:color w:val="231F20"/>
        </w:rPr>
        <w:t>4.3      Description of Securities Registered under Section 12 of the Securities Exchange Act of 1934, incorporated by reference to Exhibit 4.3 to Mastech Digital, Inc.’s Annual Report on Form 10-K filed with the SEC on March 30, 2020</w:t>
      </w:r>
    </w:p>
    <w:p>
      <w:pPr>
        <w:spacing w:after="0" w:line="67" w:lineRule="exact"/>
        <w:rPr>
          <w:sz w:val="20"/>
          <w:szCs w:val="20"/>
          <w:color w:val="auto"/>
        </w:rPr>
      </w:pPr>
    </w:p>
    <w:p>
      <w:pPr>
        <w:jc w:val="right"/>
        <w:ind w:right="280"/>
        <w:spacing w:after="0" w:line="277" w:lineRule="auto"/>
        <w:rPr>
          <w:sz w:val="20"/>
          <w:szCs w:val="20"/>
          <w:color w:val="auto"/>
        </w:rPr>
      </w:pPr>
      <w:r>
        <w:rPr>
          <w:rFonts w:ascii="Times New Roman" w:cs="Times New Roman" w:eastAsia="Times New Roman" w:hAnsi="Times New Roman"/>
          <w:sz w:val="20"/>
          <w:szCs w:val="20"/>
          <w:color w:val="231F20"/>
        </w:rPr>
        <w:t>10.1†     Mastech Digital, Inc.’s Stock Incentive Plan (as amended and restated), effective as of May 14, 2024, incorporated by reference to Exhibit 10.1 to Mastech Digital, Inc.’s Current Report on Form 8-K filed with the SEC on May 16, 2024</w:t>
      </w:r>
    </w:p>
    <w:p>
      <w:pPr>
        <w:spacing w:after="0" w:line="67" w:lineRule="exact"/>
        <w:rPr>
          <w:sz w:val="20"/>
          <w:szCs w:val="20"/>
          <w:color w:val="auto"/>
        </w:rPr>
      </w:pPr>
    </w:p>
    <w:p>
      <w:pPr>
        <w:ind w:left="980" w:right="200" w:hanging="979"/>
        <w:spacing w:after="0" w:line="258" w:lineRule="auto"/>
        <w:tabs>
          <w:tab w:leader="none" w:pos="960" w:val="left"/>
        </w:tabs>
        <w:rPr>
          <w:sz w:val="20"/>
          <w:szCs w:val="20"/>
          <w:color w:val="auto"/>
        </w:rPr>
      </w:pPr>
      <w:r>
        <w:rPr>
          <w:rFonts w:ascii="Times New Roman" w:cs="Times New Roman" w:eastAsia="Times New Roman" w:hAnsi="Times New Roman"/>
          <w:sz w:val="20"/>
          <w:szCs w:val="20"/>
          <w:color w:val="231F20"/>
        </w:rPr>
        <w:t>10.2†</w:t>
      </w:r>
      <w:r>
        <w:rPr>
          <w:sz w:val="20"/>
          <w:szCs w:val="20"/>
          <w:color w:val="auto"/>
        </w:rPr>
        <w:tab/>
      </w:r>
      <w:r>
        <w:rPr>
          <w:rFonts w:ascii="Times New Roman" w:cs="Times New Roman" w:eastAsia="Times New Roman" w:hAnsi="Times New Roman"/>
          <w:sz w:val="20"/>
          <w:szCs w:val="20"/>
          <w:color w:val="231F20"/>
        </w:rPr>
        <w:t>First Amendment to Mastech Digital, Inc. Stock Incentive Plan, as Amended and Restated, executed May 14, 2025, incorporated by reference to Exhibit 10.1 to Mastech Digital, Inc.’s Current Report on Form 8-K filed with the SEC on May 19, 2025</w:t>
      </w:r>
    </w:p>
    <w:p>
      <w:pPr>
        <w:spacing w:after="0" w:line="178" w:lineRule="exact"/>
        <w:rPr>
          <w:sz w:val="20"/>
          <w:szCs w:val="20"/>
          <w:color w:val="auto"/>
        </w:rPr>
      </w:pPr>
    </w:p>
    <w:p>
      <w:pPr>
        <w:ind w:left="980" w:right="540" w:hanging="979"/>
        <w:spacing w:after="0" w:line="277" w:lineRule="auto"/>
        <w:tabs>
          <w:tab w:leader="none" w:pos="960" w:val="left"/>
        </w:tabs>
        <w:rPr>
          <w:sz w:val="20"/>
          <w:szCs w:val="20"/>
          <w:color w:val="auto"/>
        </w:rPr>
      </w:pPr>
      <w:r>
        <w:rPr>
          <w:rFonts w:ascii="Times New Roman" w:cs="Times New Roman" w:eastAsia="Times New Roman" w:hAnsi="Times New Roman"/>
          <w:sz w:val="20"/>
          <w:szCs w:val="20"/>
          <w:color w:val="231F20"/>
        </w:rPr>
        <w:t>10.3†</w:t>
      </w:r>
      <w:r>
        <w:rPr>
          <w:sz w:val="20"/>
          <w:szCs w:val="20"/>
          <w:color w:val="auto"/>
        </w:rPr>
        <w:tab/>
      </w:r>
      <w:r>
        <w:rPr>
          <w:rFonts w:ascii="Times New Roman" w:cs="Times New Roman" w:eastAsia="Times New Roman" w:hAnsi="Times New Roman"/>
          <w:sz w:val="20"/>
          <w:szCs w:val="20"/>
          <w:color w:val="231F20"/>
        </w:rPr>
        <w:t>Mastech Digital, Inc. 2024 Inducement Stock Incentive Plan, incorporated by reference to Exhibit 10.2 to Mastech Digital, Inc.’s Current Report on Form 8-K filed with the SEC on December 16, 2024</w:t>
      </w:r>
    </w:p>
    <w:p>
      <w:pPr>
        <w:spacing w:after="0" w:line="67" w:lineRule="exact"/>
        <w:rPr>
          <w:sz w:val="20"/>
          <w:szCs w:val="20"/>
          <w:color w:val="auto"/>
        </w:rPr>
      </w:pPr>
    </w:p>
    <w:p>
      <w:pPr>
        <w:ind w:left="980" w:hanging="979"/>
        <w:spacing w:after="0" w:line="270" w:lineRule="auto"/>
        <w:tabs>
          <w:tab w:leader="none" w:pos="960" w:val="left"/>
        </w:tabs>
        <w:rPr>
          <w:sz w:val="20"/>
          <w:szCs w:val="20"/>
          <w:color w:val="auto"/>
        </w:rPr>
      </w:pPr>
      <w:r>
        <w:rPr>
          <w:rFonts w:ascii="Times New Roman" w:cs="Times New Roman" w:eastAsia="Times New Roman" w:hAnsi="Times New Roman"/>
          <w:sz w:val="20"/>
          <w:szCs w:val="20"/>
          <w:color w:val="231F20"/>
        </w:rPr>
        <w:t>10.4</w:t>
      </w:r>
      <w:r>
        <w:rPr>
          <w:sz w:val="20"/>
          <w:szCs w:val="20"/>
          <w:color w:val="auto"/>
        </w:rPr>
        <w:tab/>
      </w:r>
      <w:r>
        <w:rPr>
          <w:rFonts w:ascii="Times New Roman" w:cs="Times New Roman" w:eastAsia="Times New Roman" w:hAnsi="Times New Roman"/>
          <w:sz w:val="19"/>
          <w:szCs w:val="19"/>
          <w:color w:val="231F20"/>
        </w:rPr>
        <w:t>Credit Agreement, dated July 13, 2017, by and among Mastech Digital, Inc., certain subsidiaries of Mastech Digital, Inc., PNC Bank, National Association, as administrative agent, swing loan lender and issuing lender, PNC Capital Markets LLC, as sole lead arranger and sole bookrunner, and certain financial institutions party thereto as lenders, incorporated by reference to Exhibit 10.1 to Mastech Digital, Inc.’s Current Report on Form 8-K, filed with the SEC on July 19, 2017</w:t>
      </w:r>
    </w:p>
    <w:p>
      <w:pPr>
        <w:spacing w:after="0" w:line="75" w:lineRule="exact"/>
        <w:rPr>
          <w:sz w:val="20"/>
          <w:szCs w:val="20"/>
          <w:color w:val="auto"/>
        </w:rPr>
      </w:pPr>
    </w:p>
    <w:p>
      <w:pPr>
        <w:ind w:left="980" w:right="20" w:hanging="979"/>
        <w:spacing w:after="0" w:line="252" w:lineRule="auto"/>
        <w:tabs>
          <w:tab w:leader="none" w:pos="960" w:val="left"/>
        </w:tabs>
        <w:rPr>
          <w:sz w:val="20"/>
          <w:szCs w:val="20"/>
          <w:color w:val="auto"/>
        </w:rPr>
      </w:pPr>
      <w:r>
        <w:rPr>
          <w:rFonts w:ascii="Times New Roman" w:cs="Times New Roman" w:eastAsia="Times New Roman" w:hAnsi="Times New Roman"/>
          <w:sz w:val="20"/>
          <w:szCs w:val="20"/>
          <w:color w:val="231F20"/>
        </w:rPr>
        <w:t>10.5</w:t>
      </w:r>
      <w:r>
        <w:rPr>
          <w:sz w:val="20"/>
          <w:szCs w:val="20"/>
          <w:color w:val="auto"/>
        </w:rPr>
        <w:tab/>
      </w:r>
      <w:r>
        <w:rPr>
          <w:rFonts w:ascii="Times New Roman" w:cs="Times New Roman" w:eastAsia="Times New Roman" w:hAnsi="Times New Roman"/>
          <w:sz w:val="20"/>
          <w:szCs w:val="20"/>
          <w:color w:val="231F20"/>
        </w:rPr>
        <w:t>First Amendment to Credit Agreement, dated November 2017, by and among Mastech Digital, Inc., PNC Bank, National Association, as administrative agent and a lender, and certain financial institutions party thereto as lenders, incorporated by reference to Exhibit 10.3 to Mastech Digital, Inc.’s Quarterly Report on Form 10-Q, filed with the SEC on May 11, 2018</w:t>
      </w:r>
    </w:p>
    <w:p>
      <w:pPr>
        <w:spacing w:after="0" w:line="92" w:lineRule="exact"/>
        <w:rPr>
          <w:sz w:val="20"/>
          <w:szCs w:val="20"/>
          <w:color w:val="auto"/>
        </w:rPr>
      </w:pPr>
    </w:p>
    <w:p>
      <w:pPr>
        <w:ind w:left="980" w:right="140" w:hanging="979"/>
        <w:spacing w:after="0" w:line="252" w:lineRule="auto"/>
        <w:tabs>
          <w:tab w:leader="none" w:pos="96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Second Amendment to Credit Agreement, dated April 20, 2018, by and among Mastech Digital, Inc., PNC Bank, National Association, as administrative agent and a lender, and certain financial institutions party thereto as lenders, incorporated by reference to Exhibit 10.1 to Mastech Digital, Inc.’s Current Report on Form 8-K, filed with the SEC on April 25, 2018</w:t>
      </w:r>
    </w:p>
    <w:p>
      <w:pPr>
        <w:sectPr>
          <w:pgSz w:w="11880" w:h="15480" w:orient="portrait"/>
          <w:cols w:equalWidth="0" w:num="1">
            <w:col w:w="10700"/>
          </w:cols>
          <w:pgMar w:left="640" w:top="102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700"/>
          </w:cols>
          <w:pgMar w:left="640" w:top="1026" w:right="540" w:bottom="0" w:gutter="0" w:footer="0" w:header="0"/>
          <w:type w:val="continuous"/>
        </w:sectPr>
      </w:pPr>
    </w:p>
    <w:bookmarkStart w:id="85" w:name="page86"/>
    <w:bookmarkEnd w:id="85"/>
    <w:p>
      <w:pPr>
        <w:spacing w:after="0"/>
        <w:tabs>
          <w:tab w:leader="none" w:pos="4800" w:val="left"/>
        </w:tabs>
        <w:rPr>
          <w:sz w:val="20"/>
          <w:szCs w:val="20"/>
          <w:color w:val="auto"/>
        </w:rPr>
      </w:pPr>
      <w:r>
        <w:rPr>
          <w:rFonts w:ascii="Times New Roman" w:cs="Times New Roman" w:eastAsia="Times New Roman" w:hAnsi="Times New Roman"/>
          <w:sz w:val="16"/>
          <w:szCs w:val="16"/>
          <w:b w:val="1"/>
          <w:bCs w:val="1"/>
          <w:color w:val="231F20"/>
        </w:rPr>
        <w:t>Exhibit</w:t>
      </w:r>
      <w:r>
        <w:rPr>
          <w:sz w:val="20"/>
          <w:szCs w:val="20"/>
          <w:color w:val="auto"/>
        </w:rPr>
        <w:tab/>
      </w:r>
      <w:r>
        <w:rPr>
          <w:rFonts w:ascii="Times New Roman" w:cs="Times New Roman" w:eastAsia="Times New Roman" w:hAnsi="Times New Roman"/>
          <w:sz w:val="16"/>
          <w:szCs w:val="16"/>
          <w:b w:val="1"/>
          <w:bCs w:val="1"/>
          <w:color w:val="231F20"/>
        </w:rPr>
        <w:t>(Index Description Exhibit)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-114300</wp:posOffset>
                </wp:positionH>
                <wp:positionV relativeFrom="paragraph">
                  <wp:posOffset>15240</wp:posOffset>
                </wp:positionV>
                <wp:extent cx="54800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00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2pt" to="34.15pt,1.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571500</wp:posOffset>
                </wp:positionH>
                <wp:positionV relativeFrom="paragraph">
                  <wp:posOffset>15240</wp:posOffset>
                </wp:positionV>
                <wp:extent cx="61722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1.2pt" to="531pt,1.2pt" o:allowincell="f" strokecolor="#231F20" strokeweight="0.5pt"/>
            </w:pict>
          </mc:Fallback>
        </mc:AlternateContent>
      </w:r>
    </w:p>
    <w:p>
      <w:pPr>
        <w:sectPr>
          <w:pgSz w:w="11880" w:h="15480" w:orient="portrait"/>
          <w:cols w:equalWidth="0" w:num="1">
            <w:col w:w="10600"/>
          </w:cols>
          <w:pgMar w:left="720" w:top="750" w:right="560" w:bottom="0" w:gutter="0" w:footer="0" w:header="0"/>
        </w:sectPr>
      </w:pPr>
    </w:p>
    <w:p>
      <w:pPr>
        <w:spacing w:after="0" w:line="148" w:lineRule="exact"/>
        <w:rPr>
          <w:sz w:val="20"/>
          <w:szCs w:val="20"/>
          <w:color w:val="auto"/>
        </w:rPr>
      </w:pPr>
    </w:p>
    <w:p>
      <w:pPr>
        <w:ind w:left="900" w:right="140" w:hanging="979"/>
        <w:spacing w:after="0" w:line="246" w:lineRule="auto"/>
        <w:tabs>
          <w:tab w:leader="none" w:pos="880" w:val="left"/>
        </w:tabs>
        <w:rPr>
          <w:sz w:val="20"/>
          <w:szCs w:val="20"/>
          <w:color w:val="auto"/>
        </w:rPr>
      </w:pPr>
      <w:r>
        <w:rPr>
          <w:rFonts w:ascii="Times New Roman" w:cs="Times New Roman" w:eastAsia="Times New Roman" w:hAnsi="Times New Roman"/>
          <w:sz w:val="20"/>
          <w:szCs w:val="20"/>
          <w:color w:val="231F20"/>
        </w:rPr>
        <w:t>10.7</w:t>
      </w:r>
      <w:r>
        <w:rPr>
          <w:sz w:val="20"/>
          <w:szCs w:val="20"/>
          <w:color w:val="auto"/>
        </w:rPr>
        <w:tab/>
      </w:r>
      <w:r>
        <w:rPr>
          <w:rFonts w:ascii="Times New Roman" w:cs="Times New Roman" w:eastAsia="Times New Roman" w:hAnsi="Times New Roman"/>
          <w:sz w:val="20"/>
          <w:szCs w:val="20"/>
          <w:color w:val="231F20"/>
        </w:rPr>
        <w:t>Third Amendment to Credit Agreement and Joinder Agreement, dated as of October 1, 2020, by and among Mastech Digital, Inc., Mastech Digital Alliances, Inc., Mastech Digital Resourcing, Inc., Mastech Digital Data, Inc., Mastech InfoTrellis, Inc., Mastech InfoTrellis Digital, Ltd., Mastech Digital Services, Inc., Mastech Digital Solutions, Inc., Mastech Digital Consulting, Inc., Mastech Digital InfoTech, Inc., and AmberLeaf Partners, Inc., PNC Bank, National Association, and certain other financial institutions party thereto as lenders, and PNC Bank, National Association, in its capacity as administrative agent for the lenders thereto, incorporated by reference to Exhibit 10.2 to Mastech Digital, Inc.’s Current Report on Amendment No. 1 to Form 8-K, filed with the SEC on October 7, 2020</w:t>
      </w:r>
    </w:p>
    <w:p>
      <w:pPr>
        <w:spacing w:after="0" w:line="98" w:lineRule="exact"/>
        <w:rPr>
          <w:sz w:val="20"/>
          <w:szCs w:val="20"/>
          <w:color w:val="auto"/>
        </w:rPr>
      </w:pPr>
    </w:p>
    <w:p>
      <w:pPr>
        <w:ind w:left="900" w:right="200" w:hanging="979"/>
        <w:spacing w:after="0" w:line="252" w:lineRule="auto"/>
        <w:tabs>
          <w:tab w:leader="none" w:pos="88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color w:val="231F20"/>
        </w:rPr>
        <w:t>Fourth Amendment to Credit Agreement, dated December 29, 2021, by and among Mastech Digital, Inc., PNC Bank, National Association, as administrative agent and a lender, and certain financial institutions party thereto as lenders, incorporated by reference to Exhibit 10.11 to Mastech Digital, Inc.’s Annual Report on Form 10-K, filed with the SEC on March 15, 2024</w:t>
      </w:r>
    </w:p>
    <w:p>
      <w:pPr>
        <w:spacing w:after="0" w:line="92" w:lineRule="exact"/>
        <w:rPr>
          <w:sz w:val="20"/>
          <w:szCs w:val="20"/>
          <w:color w:val="auto"/>
        </w:rPr>
      </w:pPr>
    </w:p>
    <w:p>
      <w:pPr>
        <w:ind w:left="900" w:right="200" w:hanging="979"/>
        <w:spacing w:after="0" w:line="252" w:lineRule="auto"/>
        <w:tabs>
          <w:tab w:leader="none" w:pos="88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color w:val="231F20"/>
        </w:rPr>
        <w:t>Fifth Amendment to Credit Agreement, dated December 29, 2023, by and among Mastech Digital, Inc., PNC Bank, National Association, as administrative agent and a lender, and certain financial institutions party thereto as lenders, incorporated by reference to Exhibit 10.12 to Mastech Digital, Inc.’s Annual Report on Form 10-K, filed with the SEC on March 15, 2024</w:t>
      </w:r>
    </w:p>
    <w:p>
      <w:pPr>
        <w:spacing w:after="0" w:line="92" w:lineRule="exact"/>
        <w:rPr>
          <w:sz w:val="20"/>
          <w:szCs w:val="20"/>
          <w:color w:val="auto"/>
        </w:rPr>
      </w:pPr>
    </w:p>
    <w:p>
      <w:pPr>
        <w:jc w:val="both"/>
        <w:ind w:left="900" w:right="10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Pledge Agreement, dated July 13, 2017, made by Mastech Digital, Inc. and certain subsidiaries of Mastech Digital, Inc., incorporated by reference to Exhibit 10.2 to Mastech Digital, Inc.’s Current Report on Form 8-K, filed with the SEC on July 19, 2017</w:t>
      </w:r>
    </w:p>
    <w:p>
      <w:pPr>
        <w:spacing w:after="0" w:line="86" w:lineRule="exact"/>
        <w:rPr>
          <w:sz w:val="20"/>
          <w:szCs w:val="20"/>
          <w:color w:val="auto"/>
        </w:rPr>
      </w:pPr>
    </w:p>
    <w:p>
      <w:pPr>
        <w:ind w:left="900" w:right="14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Securities Purchase Agreement, dated July 7, 2017, by and between Mastech Digital, Inc. and Ashok Trivedi, as trustee of the Ashok K. Trivedi Revocable Trust, incorporated by reference to Exhibit 10.1 to Mastech Digital, Inc.’s Current Report on Form 8-K, filed with the SEC on July 13, 2017</w:t>
      </w:r>
    </w:p>
    <w:p>
      <w:pPr>
        <w:spacing w:after="0" w:line="86" w:lineRule="exact"/>
        <w:rPr>
          <w:sz w:val="20"/>
          <w:szCs w:val="20"/>
          <w:color w:val="auto"/>
        </w:rPr>
      </w:pPr>
    </w:p>
    <w:p>
      <w:pPr>
        <w:ind w:left="900" w:right="8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Securities Purchase Agreement, dated July 7, 2017, by and between Mastech Digital, Inc. and Sunil Wadhwani, as trustee of The Revocable Declaration of Trust of Sunil Wadhwani, incorporated by reference to Exhibit 10.2 to Mastech Digital, Inc.’s Current Report on Form 8-K, filed with the SEC on July 13, 2017</w:t>
      </w:r>
    </w:p>
    <w:p>
      <w:pPr>
        <w:spacing w:after="0" w:line="86" w:lineRule="exact"/>
        <w:rPr>
          <w:sz w:val="20"/>
          <w:szCs w:val="20"/>
          <w:color w:val="auto"/>
        </w:rPr>
      </w:pPr>
    </w:p>
    <w:p>
      <w:pPr>
        <w:ind w:left="900" w:right="2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color w:val="231F20"/>
        </w:rPr>
        <w:t>Executive Employment Agreement, made as of November 1, 2024, by and among Mastech Digital, Inc., Mastech Digital Technologies, Inc. and Nirav Patel, incorporated by reference to Exhibit 10.1 to Mastech Digital, Inc.’s Current Report on Form 8-K filed with the SEC on December 16, 2024</w:t>
      </w:r>
    </w:p>
    <w:p>
      <w:pPr>
        <w:spacing w:after="0" w:line="86" w:lineRule="exact"/>
        <w:rPr>
          <w:sz w:val="20"/>
          <w:szCs w:val="20"/>
          <w:color w:val="auto"/>
        </w:rPr>
      </w:pPr>
    </w:p>
    <w:p>
      <w:pPr>
        <w:ind w:left="900" w:right="16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color w:val="231F20"/>
        </w:rPr>
        <w:t>Executive Employment Agreement, made as of March 31, 2025, by and between Mastech Digital, Inc. and Kannan Sugantharaman, incorporated by reference to Exhibit 10.1 to Mastech Digital, Inc.’s Current Report on Form 8-K, filed with the Securities and Exchange Commission on April 4, 2025</w:t>
      </w:r>
    </w:p>
    <w:p>
      <w:pPr>
        <w:spacing w:after="0" w:line="178" w:lineRule="exact"/>
        <w:rPr>
          <w:sz w:val="20"/>
          <w:szCs w:val="20"/>
          <w:color w:val="auto"/>
        </w:rPr>
      </w:pPr>
    </w:p>
    <w:p>
      <w:pPr>
        <w:ind w:left="900" w:right="8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color w:val="231F20"/>
        </w:rPr>
        <w:t>Executive Employment Agreement, made as of March 31, 2025, by and between Mastech Digital Private Limited and Kannan Sugantharaman, incorporated by reference to Exhibit 10.2 to Mastech Digital, Inc.’s Current Report on Form 8-K, filed with the Securities and Exchange Commission on April 4, 2025</w:t>
      </w:r>
    </w:p>
    <w:p>
      <w:pPr>
        <w:spacing w:after="0" w:line="178" w:lineRule="exact"/>
        <w:rPr>
          <w:sz w:val="20"/>
          <w:szCs w:val="20"/>
          <w:color w:val="auto"/>
        </w:rPr>
      </w:pPr>
    </w:p>
    <w:p>
      <w:pPr>
        <w:jc w:val="both"/>
        <w:ind w:left="90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Fourth Amended and Restated Executive Employment Agreement, dated as of March 20, 2019, between Mastech Digital Technologies, Inc., Mastech Digital, Inc. and Vivek Gupta, incorporated by reference to Exhibit 10.1 to Mastech Digital, Inc.’s Current Report on Form 8-K filed with the SEC on March 21, 2019</w:t>
      </w:r>
    </w:p>
    <w:p>
      <w:pPr>
        <w:spacing w:after="0" w:line="178" w:lineRule="exact"/>
        <w:rPr>
          <w:sz w:val="20"/>
          <w:szCs w:val="20"/>
          <w:color w:val="auto"/>
        </w:rPr>
      </w:pPr>
    </w:p>
    <w:p>
      <w:pPr>
        <w:ind w:left="900" w:right="10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Fourth Amended and Restated Executive Employment Agreement, dated as of March 8, 2024, between Mastech Digital Technologies, Inc., Mastech Digital, Inc. and John J. Cronin, Jr., incorporated by reference to Exhibit 10.2 to Mastech Digital, Inc.’s Current Report on Form 8-K filed with the SEC on March 12, 2024</w:t>
      </w:r>
    </w:p>
    <w:p>
      <w:pPr>
        <w:spacing w:after="0" w:line="86" w:lineRule="exact"/>
        <w:rPr>
          <w:sz w:val="20"/>
          <w:szCs w:val="20"/>
          <w:color w:val="auto"/>
        </w:rPr>
      </w:pPr>
    </w:p>
    <w:p>
      <w:pPr>
        <w:ind w:left="900" w:right="10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color w:val="231F20"/>
        </w:rPr>
        <w:t>Confidential Separation Agreement and General Release among Mastech Digital, Inc., Mastech Digital Technologies, Inc. and Vivek Gupta, incorporated by reference to Exhibit 10.14 to Mastech Digital, Inc.’s Annual Report on Form 10-K, filed with the Securities and Exchange Commission on March 14, 2025</w:t>
      </w:r>
    </w:p>
    <w:p>
      <w:pPr>
        <w:spacing w:after="0" w:line="86" w:lineRule="exact"/>
        <w:rPr>
          <w:sz w:val="20"/>
          <w:szCs w:val="20"/>
          <w:color w:val="auto"/>
        </w:rPr>
      </w:pPr>
    </w:p>
    <w:p>
      <w:pPr>
        <w:ind w:left="900" w:right="260" w:hanging="979"/>
        <w:spacing w:after="0" w:line="258" w:lineRule="auto"/>
        <w:tabs>
          <w:tab w:leader="none" w:pos="88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color w:val="231F20"/>
        </w:rPr>
        <w:t>Confidential Separation Agreement and General Release among Mastech Digital, Inc., Mastech Digital Technologies, Inc. and John J. Cronin, Jr., incorporated by reference to Exhibit 10.4 to Mastech Digital, Inc.’s Quarterly Report on Form 10-Q, filed with the Securities and Exchange Commission on August 13, 2025</w:t>
      </w:r>
    </w:p>
    <w:p>
      <w:pPr>
        <w:spacing w:after="0" w:line="178" w:lineRule="exact"/>
        <w:rPr>
          <w:sz w:val="20"/>
          <w:szCs w:val="20"/>
          <w:color w:val="auto"/>
        </w:rPr>
      </w:pPr>
    </w:p>
    <w:p>
      <w:pPr>
        <w:ind w:left="900" w:right="200" w:hanging="979"/>
        <w:spacing w:after="0" w:line="277" w:lineRule="auto"/>
        <w:tabs>
          <w:tab w:leader="none" w:pos="88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color w:val="231F20"/>
        </w:rPr>
        <w:t>Lease Agreement, dated April 2, 2014, between PIBP 210 LLP and Mastech Digital, Inc., incorporated by reference to Exhibit 10.1 to Mastech Digital, Inc.’s Current Report on Form 8-K filed with the SEC on April 7, 2014</w:t>
      </w:r>
    </w:p>
    <w:p>
      <w:pPr>
        <w:sectPr>
          <w:pgSz w:w="11880" w:h="15480" w:orient="portrait"/>
          <w:cols w:equalWidth="0" w:num="1">
            <w:col w:w="10600"/>
          </w:cols>
          <w:pgMar w:left="720" w:top="750" w:right="560" w:bottom="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600"/>
          </w:cols>
          <w:pgMar w:left="720" w:top="750" w:right="560"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203"/>
        </w:trPr>
        <w:tc>
          <w:tcPr>
            <w:tcW w:w="86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6"/>
                <w:szCs w:val="16"/>
                <w:b w:val="1"/>
                <w:bCs w:val="1"/>
                <w:color w:val="231F20"/>
              </w:rPr>
              <w:t>Exhibit</w:t>
            </w:r>
          </w:p>
        </w:tc>
        <w:tc>
          <w:tcPr>
            <w:tcW w:w="220" w:type="dxa"/>
            <w:vAlign w:val="bottom"/>
          </w:tcPr>
          <w:p>
            <w:pPr>
              <w:spacing w:after="0"/>
              <w:rPr>
                <w:sz w:val="17"/>
                <w:szCs w:val="17"/>
                <w:color w:val="auto"/>
              </w:rPr>
            </w:pPr>
          </w:p>
        </w:tc>
        <w:tc>
          <w:tcPr>
            <w:tcW w:w="9720" w:type="dxa"/>
            <w:vAlign w:val="bottom"/>
            <w:tcBorders>
              <w:bottom w:val="single" w:sz="8" w:color="231F20"/>
            </w:tcBorders>
          </w:tcPr>
          <w:p>
            <w:pPr>
              <w:ind w:left="3920"/>
              <w:spacing w:after="0"/>
              <w:rPr>
                <w:sz w:val="20"/>
                <w:szCs w:val="20"/>
                <w:color w:val="auto"/>
              </w:rPr>
            </w:pPr>
            <w:r>
              <w:rPr>
                <w:rFonts w:ascii="Times New Roman" w:cs="Times New Roman" w:eastAsia="Times New Roman" w:hAnsi="Times New Roman"/>
                <w:sz w:val="16"/>
                <w:szCs w:val="16"/>
                <w:b w:val="1"/>
                <w:bCs w:val="1"/>
                <w:color w:val="231F20"/>
              </w:rPr>
              <w:t>(Index Description Exhibit)</w:t>
            </w:r>
          </w:p>
        </w:tc>
      </w:tr>
      <w:tr>
        <w:trPr>
          <w:trHeight w:val="339"/>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Lease Deed, made and executed on April 1, 2021, by and between Olympia Tech Park (Chennai) Private Limited and</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InfoTrellis India Private Limited, incorporated by reference to Exhibit 10.4 to Mastech Digital, Inc.’s Quarterly Report</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on Form 10-Q, filed with the SEC on May 7, 2021</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10.22†</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Form of Restricted Stock Agreement under the Mastech Digital, Inc. Stock Incentive Plan (as amended and restated),</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by reference to Exhibit 10.9 to Mastech Digital, Inc.’s Annual Report on Form 10-K filed with the SEC on</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March 24, 2017</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10.23†</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Form of Non-Qualified Stock Option Agreement under the Mastech Digital, Inc. Stock Incentive Plan (as amended and</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restated), incorporated by reference to Exhibit 10.10 to Mastech Digital, Inc.’s Annual Report on Form 10-K filed with</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the SEC on March 24, 2017</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10.24†</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Mastech Digital, Inc. 2019 Employee Stock Purchase Plan, executed on May 15, 2019, incorporated by reference to</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Exhibit 10.2 to Mastech Digital, Inc.’s Current Report on Form 8-K filed with the SEC on May 15, 2019</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10.25</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Consulting Services Agreement, made and entered into effective as of January 12, 2024, by and among Primentor Inc.,</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Phaneesh Murthy, Srinjay Sengupta, Mastech Digital, Inc., Sunil Wadhwani, and Ashok Trivedi, incorporated by</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reference to Exhibit 10.1 to Mastech Digital, Inc.’s Current Report on Form 8-K filed with the SEC on January 19, 2024</w:t>
            </w:r>
          </w:p>
        </w:tc>
      </w:tr>
      <w:tr>
        <w:trPr>
          <w:trHeight w:val="368"/>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10.26†</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Summary of Director Compensation Arrangements</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14.1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Mastech Digital, Inc.’s Code of Business Conduct and Ethics, as adopted on September 15, 2016, incorporated by</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reference to Exhibit 14.1 to Mastech Digital, Inc.’s Annual Report on Form 10-K filed with the SEC on March 24, 2017</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19.1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Mastech Digital, Inc. Insider Trading Policy, incorporated by reference to Exhibit 19.1 to Mastech Digital, Inc.’s Annual</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10-K, filed with the Securities and Exchange Commission on March 14, 2025</w:t>
            </w:r>
          </w:p>
        </w:tc>
      </w:tr>
      <w:tr>
        <w:trPr>
          <w:trHeight w:val="368"/>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21.1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List of Subsidiaries of Mastech Digital, Inc.</w:t>
            </w:r>
          </w:p>
        </w:tc>
      </w:tr>
      <w:tr>
        <w:trPr>
          <w:trHeight w:val="460"/>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23.1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Consent of UHY LLP, Independent Registered Public Accounting Firm</w:t>
            </w:r>
          </w:p>
        </w:tc>
      </w:tr>
      <w:tr>
        <w:trPr>
          <w:trHeight w:val="368"/>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31.1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pursuant to Section 302 of the Sarbanes-Oxley Act of 2002 by Chief Executive Officer</w:t>
            </w:r>
          </w:p>
        </w:tc>
      </w:tr>
      <w:tr>
        <w:trPr>
          <w:trHeight w:val="368"/>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31.2</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pursuant to Section 302 of the Sarbanes-Oxley Act of 2002 by Chief Financial Officer</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32.1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pursuant to 18 U.S.C. Section 1350, as adopted pursuant to Section 906 of the Sarbanes-Oxley Act of 2002,</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by Chief Executive Officer</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32.2</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Certification pursuant to 18 U.S.C. Section 1350, as adopted pursuant to Section 906 of the Sarbanes-Oxley Act of 2002,</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by Chief Financial Officer</w:t>
            </w:r>
          </w:p>
        </w:tc>
      </w:tr>
      <w:tr>
        <w:trPr>
          <w:trHeight w:val="33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97.1</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Mastech Digital, Inc. Clawback Policy, effective December 1, 2023, incorporated by reference to Exhibit 97.1 to</w:t>
            </w:r>
          </w:p>
        </w:tc>
      </w:tr>
      <w:tr>
        <w:trPr>
          <w:trHeight w:val="266"/>
        </w:trPr>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Mastech Digital, Inc.’s Annual Report on Form 10-K filed with the SEC on March 15, 2024</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Instance Document</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Inline Taxonomy Extension Schema Document</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w w:val="98"/>
              </w:rPr>
              <w:t>101.CAL*</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Taxonomy Extension Calculation Linkbase Document</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101.DEF*</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Taxonomy Extension Definition Linkbase Document</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w w:val="98"/>
              </w:rPr>
              <w:t>101.LAB*</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Taxonomy Extension Label Linkbase Document</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101.PRE*</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Inline XBRL Taxonomy Extension Presentation Linkbase Document</w:t>
            </w:r>
          </w:p>
        </w:tc>
      </w:tr>
      <w:tr>
        <w:trPr>
          <w:trHeight w:val="3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231F20"/>
              </w:rPr>
              <w:t>104</w:t>
            </w:r>
          </w:p>
        </w:tc>
        <w:tc>
          <w:tcPr>
            <w:tcW w:w="2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20"/>
                <w:szCs w:val="20"/>
                <w:color w:val="231F20"/>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82550</wp:posOffset>
                </wp:positionV>
                <wp:extent cx="82296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pt" to="64.8pt,6.5pt" o:allowincell="f" strokecolor="#231F20" strokeweight="0.75pt"/>
            </w:pict>
          </mc:Fallback>
        </mc:AlternateContent>
      </w:r>
    </w:p>
    <w:p>
      <w:pPr>
        <w:spacing w:after="0" w:line="159" w:lineRule="exact"/>
        <w:rPr>
          <w:sz w:val="20"/>
          <w:szCs w:val="20"/>
          <w:color w:val="auto"/>
        </w:rPr>
      </w:pPr>
    </w:p>
    <w:p>
      <w:pPr>
        <w:ind w:right="1420"/>
        <w:spacing w:after="0" w:line="277" w:lineRule="auto"/>
        <w:tabs>
          <w:tab w:leader="none" w:pos="15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Designates the Company’s management contracts or compensation plans or arrangements for its executive officers. * XBRL (eXtensible Business Reporting Language) information is furnished and not filed herewith.</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800"/>
          </w:cols>
          <w:pgMar w:left="540" w:top="750" w:right="540" w:bottom="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report to be signed on its behalf by the undersigned, thereunto duly authorized, on this 18th day of March, 2026.</w:t>
      </w:r>
    </w:p>
    <w:p>
      <w:pPr>
        <w:spacing w:after="0" w:line="20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231F20"/>
        </w:rPr>
        <w:t>MASTECH DIGITAL, INC.</w:t>
      </w:r>
    </w:p>
    <w:p>
      <w:pPr>
        <w:spacing w:after="0" w:line="245"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N</w:t>
      </w:r>
      <w:r>
        <w:rPr>
          <w:rFonts w:ascii="Times New Roman" w:cs="Times New Roman" w:eastAsia="Times New Roman" w:hAnsi="Times New Roman"/>
          <w:sz w:val="16"/>
          <w:szCs w:val="16"/>
          <w:color w:val="231F20"/>
        </w:rPr>
        <w:t>IRAV</w:t>
      </w:r>
      <w:r>
        <w:rPr>
          <w:rFonts w:ascii="Times New Roman" w:cs="Times New Roman" w:eastAsia="Times New Roman" w:hAnsi="Times New Roman"/>
          <w:sz w:val="20"/>
          <w:szCs w:val="20"/>
          <w:color w:val="231F20"/>
        </w:rPr>
        <w:t xml:space="preserve"> P</w:t>
      </w:r>
      <w:r>
        <w:rPr>
          <w:rFonts w:ascii="Times New Roman" w:cs="Times New Roman" w:eastAsia="Times New Roman" w:hAnsi="Times New Roman"/>
          <w:sz w:val="16"/>
          <w:szCs w:val="16"/>
          <w:color w:val="231F20"/>
        </w:rPr>
        <w:t>ATEL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15240</wp:posOffset>
                </wp:positionV>
                <wp:extent cx="27432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2pt" to="540pt,1.2pt" o:allowincell="f" strokecolor="#231F20" strokeweight="0.5pt"/>
            </w:pict>
          </mc:Fallback>
        </mc:AlternateContent>
      </w:r>
    </w:p>
    <w:p>
      <w:pPr>
        <w:spacing w:after="0" w:line="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Nirav Patel</w:t>
      </w:r>
    </w:p>
    <w:p>
      <w:pPr>
        <w:spacing w:after="0" w:line="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President and Chief Executive Officer</w:t>
      </w:r>
    </w:p>
    <w:p>
      <w:pPr>
        <w:spacing w:after="0" w:line="268"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report has been signed below by the following persons on behalf of the Registrant and in the capacities indicated and on this 18th day of March, 2026.</w:t>
      </w:r>
    </w:p>
    <w:p>
      <w:pPr>
        <w:spacing w:after="0" w:line="205"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N</w:t>
      </w:r>
      <w:r>
        <w:rPr>
          <w:rFonts w:ascii="Times New Roman" w:cs="Times New Roman" w:eastAsia="Times New Roman" w:hAnsi="Times New Roman"/>
          <w:sz w:val="16"/>
          <w:szCs w:val="16"/>
          <w:color w:val="231F20"/>
        </w:rPr>
        <w:t>IRAV</w:t>
      </w:r>
      <w:r>
        <w:rPr>
          <w:rFonts w:ascii="Times New Roman" w:cs="Times New Roman" w:eastAsia="Times New Roman" w:hAnsi="Times New Roman"/>
          <w:sz w:val="20"/>
          <w:szCs w:val="20"/>
          <w:color w:val="231F20"/>
        </w:rPr>
        <w:t xml:space="preserve"> P</w:t>
      </w:r>
      <w:r>
        <w:rPr>
          <w:rFonts w:ascii="Times New Roman" w:cs="Times New Roman" w:eastAsia="Times New Roman" w:hAnsi="Times New Roman"/>
          <w:sz w:val="16"/>
          <w:szCs w:val="16"/>
          <w:color w:val="231F20"/>
        </w:rPr>
        <w:t>ATEL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15240</wp:posOffset>
                </wp:positionV>
                <wp:extent cx="27432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2pt" to="540pt,1.2pt" o:allowincell="f" strokecolor="#231F20" strokeweight="0.5pt"/>
            </w:pict>
          </mc:Fallback>
        </mc:AlternateContent>
      </w:r>
    </w:p>
    <w:p>
      <w:pPr>
        <w:spacing w:after="0" w:line="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Nirav Patel</w:t>
      </w:r>
    </w:p>
    <w:p>
      <w:pPr>
        <w:spacing w:after="0" w:line="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President, Chief Executive Officer and Director</w:t>
      </w: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(Principal Executive Officer)</w:t>
      </w:r>
    </w:p>
    <w:p>
      <w:pPr>
        <w:spacing w:after="0" w:line="237"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Kannan Sugantharaman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15240</wp:posOffset>
                </wp:positionV>
                <wp:extent cx="27432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2pt" to="540pt,1.2pt" o:allowincell="f" strokecolor="#231F20" strokeweight="0.5pt"/>
            </w:pict>
          </mc:Fallback>
        </mc:AlternateContent>
      </w:r>
    </w:p>
    <w:p>
      <w:pPr>
        <w:spacing w:after="0" w:line="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Kannan Sugantharaman</w:t>
      </w:r>
    </w:p>
    <w:p>
      <w:pPr>
        <w:spacing w:after="0" w:line="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Chief Financial Officer</w:t>
      </w: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(Principal Financial Officer and Principal</w:t>
      </w: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Accounting Officer)</w:t>
      </w:r>
    </w:p>
    <w:p>
      <w:pPr>
        <w:spacing w:after="0" w:line="217"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S</w:t>
      </w:r>
      <w:r>
        <w:rPr>
          <w:rFonts w:ascii="Times New Roman" w:cs="Times New Roman" w:eastAsia="Times New Roman" w:hAnsi="Times New Roman"/>
          <w:sz w:val="16"/>
          <w:szCs w:val="16"/>
          <w:color w:val="231F20"/>
        </w:rPr>
        <w:t>UNIL</w:t>
      </w:r>
      <w:r>
        <w:rPr>
          <w:rFonts w:ascii="Times New Roman" w:cs="Times New Roman" w:eastAsia="Times New Roman" w:hAnsi="Times New Roman"/>
          <w:sz w:val="20"/>
          <w:szCs w:val="20"/>
          <w:color w:val="231F20"/>
        </w:rPr>
        <w:t xml:space="preserve"> W</w:t>
      </w:r>
      <w:r>
        <w:rPr>
          <w:rFonts w:ascii="Times New Roman" w:cs="Times New Roman" w:eastAsia="Times New Roman" w:hAnsi="Times New Roman"/>
          <w:sz w:val="16"/>
          <w:szCs w:val="16"/>
          <w:color w:val="231F20"/>
        </w:rPr>
        <w:t>ADHWANI</w:t>
      </w:r>
    </w:p>
    <w:p>
      <w:pPr>
        <w:spacing w:after="0" w:line="28"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Sunil Wadhwani</w:t>
      </w: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Co-Chairman of the Board of Directors, and</w:t>
      </w: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Director</w:t>
      </w:r>
    </w:p>
    <w:p>
      <w:pPr>
        <w:spacing w:after="0" w:line="237"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A</w:t>
      </w:r>
      <w:r>
        <w:rPr>
          <w:rFonts w:ascii="Times New Roman" w:cs="Times New Roman" w:eastAsia="Times New Roman" w:hAnsi="Times New Roman"/>
          <w:sz w:val="16"/>
          <w:szCs w:val="16"/>
          <w:color w:val="231F20"/>
        </w:rPr>
        <w:t>SHOK</w:t>
      </w:r>
      <w:r>
        <w:rPr>
          <w:rFonts w:ascii="Times New Roman" w:cs="Times New Roman" w:eastAsia="Times New Roman" w:hAnsi="Times New Roman"/>
          <w:sz w:val="20"/>
          <w:szCs w:val="20"/>
          <w:color w:val="231F20"/>
        </w:rPr>
        <w:t xml:space="preserve"> T</w:t>
      </w:r>
      <w:r>
        <w:rPr>
          <w:rFonts w:ascii="Times New Roman" w:cs="Times New Roman" w:eastAsia="Times New Roman" w:hAnsi="Times New Roman"/>
          <w:sz w:val="16"/>
          <w:szCs w:val="16"/>
          <w:color w:val="231F20"/>
        </w:rPr>
        <w:t>RIVEDI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15240</wp:posOffset>
                </wp:positionV>
                <wp:extent cx="27432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2pt" to="540pt,1.2pt" o:allowincell="f" strokecolor="#231F20" strokeweight="0.5pt"/>
            </w:pict>
          </mc:Fallback>
        </mc:AlternateContent>
      </w:r>
    </w:p>
    <w:p>
      <w:pPr>
        <w:spacing w:after="0" w:line="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Ashok Trivedi</w:t>
      </w:r>
    </w:p>
    <w:p>
      <w:pPr>
        <w:spacing w:after="0" w:line="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Co-Chairman of the Board of Directors, and</w:t>
      </w: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Director</w:t>
      </w:r>
    </w:p>
    <w:p>
      <w:pPr>
        <w:spacing w:after="0" w:line="237"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A</w:t>
      </w:r>
      <w:r>
        <w:rPr>
          <w:rFonts w:ascii="Times New Roman" w:cs="Times New Roman" w:eastAsia="Times New Roman" w:hAnsi="Times New Roman"/>
          <w:sz w:val="16"/>
          <w:szCs w:val="16"/>
          <w:color w:val="231F20"/>
        </w:rPr>
        <w:t>RUN</w:t>
      </w:r>
      <w:r>
        <w:rPr>
          <w:rFonts w:ascii="Times New Roman" w:cs="Times New Roman" w:eastAsia="Times New Roman" w:hAnsi="Times New Roman"/>
          <w:sz w:val="20"/>
          <w:szCs w:val="20"/>
          <w:color w:val="231F20"/>
        </w:rPr>
        <w:t xml:space="preserve"> N</w:t>
      </w:r>
      <w:r>
        <w:rPr>
          <w:rFonts w:ascii="Times New Roman" w:cs="Times New Roman" w:eastAsia="Times New Roman" w:hAnsi="Times New Roman"/>
          <w:sz w:val="16"/>
          <w:szCs w:val="16"/>
          <w:color w:val="231F20"/>
        </w:rPr>
        <w:t>AYAR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15240</wp:posOffset>
                </wp:positionV>
                <wp:extent cx="27432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2pt" to="540pt,1.2pt" o:allowincell="f" strokecolor="#231F20" strokeweight="0.5pt"/>
            </w:pict>
          </mc:Fallback>
        </mc:AlternateContent>
      </w:r>
    </w:p>
    <w:p>
      <w:pPr>
        <w:spacing w:after="0" w:line="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Arun Nayar</w:t>
      </w:r>
    </w:p>
    <w:p>
      <w:pPr>
        <w:spacing w:after="0" w:line="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Director</w:t>
      </w:r>
    </w:p>
    <w:p>
      <w:pPr>
        <w:spacing w:after="0" w:line="234"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w:t>
      </w:r>
      <w:r>
        <w:rPr>
          <w:rFonts w:ascii="Times New Roman" w:cs="Times New Roman" w:eastAsia="Times New Roman" w:hAnsi="Times New Roman"/>
          <w:sz w:val="22"/>
          <w:szCs w:val="22"/>
          <w:color w:val="231F20"/>
        </w:rPr>
        <w:t>/</w:t>
      </w:r>
      <w:r>
        <w:rPr>
          <w:rFonts w:ascii="Times New Roman" w:cs="Times New Roman" w:eastAsia="Times New Roman" w:hAnsi="Times New Roman"/>
          <w:sz w:val="20"/>
          <w:szCs w:val="20"/>
          <w:color w:val="231F20"/>
        </w:rPr>
        <w:t xml:space="preserve"> S</w:t>
      </w:r>
      <w:r>
        <w:rPr>
          <w:rFonts w:ascii="Times New Roman" w:cs="Times New Roman" w:eastAsia="Times New Roman" w:hAnsi="Times New Roman"/>
          <w:sz w:val="16"/>
          <w:szCs w:val="16"/>
          <w:color w:val="231F20"/>
        </w:rPr>
        <w:t>RINIVAS</w:t>
      </w:r>
      <w:r>
        <w:rPr>
          <w:rFonts w:ascii="Times New Roman" w:cs="Times New Roman" w:eastAsia="Times New Roman" w:hAnsi="Times New Roman"/>
          <w:sz w:val="20"/>
          <w:szCs w:val="20"/>
          <w:color w:val="231F20"/>
        </w:rPr>
        <w:t xml:space="preserve"> K</w:t>
      </w:r>
      <w:r>
        <w:rPr>
          <w:rFonts w:ascii="Times New Roman" w:cs="Times New Roman" w:eastAsia="Times New Roman" w:hAnsi="Times New Roman"/>
          <w:sz w:val="16"/>
          <w:szCs w:val="16"/>
          <w:color w:val="231F20"/>
        </w:rPr>
        <w:t>ANDULA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17145</wp:posOffset>
                </wp:positionV>
                <wp:extent cx="27432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35pt" to="540pt,1.35pt" o:allowincell="f" strokecolor="#231F20" strokeweight="0.5pt"/>
            </w:pict>
          </mc:Fallback>
        </mc:AlternateContent>
      </w:r>
    </w:p>
    <w:p>
      <w:pPr>
        <w:spacing w:after="0" w:line="21"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Srinivas Kandula</w:t>
      </w:r>
    </w:p>
    <w:p>
      <w:pPr>
        <w:spacing w:after="0" w:line="1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Director</w:t>
      </w:r>
    </w:p>
    <w:p>
      <w:pPr>
        <w:spacing w:after="0" w:line="245"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color w:val="231F20"/>
        </w:rPr>
        <w:t>/s/ V</w:t>
      </w:r>
      <w:r>
        <w:rPr>
          <w:rFonts w:ascii="Times New Roman" w:cs="Times New Roman" w:eastAsia="Times New Roman" w:hAnsi="Times New Roman"/>
          <w:sz w:val="16"/>
          <w:szCs w:val="16"/>
          <w:color w:val="231F20"/>
        </w:rPr>
        <w:t>LADIMIR</w:t>
      </w:r>
      <w:r>
        <w:rPr>
          <w:rFonts w:ascii="Times New Roman" w:cs="Times New Roman" w:eastAsia="Times New Roman" w:hAnsi="Times New Roman"/>
          <w:sz w:val="20"/>
          <w:szCs w:val="20"/>
          <w:color w:val="231F20"/>
        </w:rPr>
        <w:t xml:space="preserve"> R</w:t>
      </w:r>
      <w:r>
        <w:rPr>
          <w:rFonts w:ascii="Times New Roman" w:cs="Times New Roman" w:eastAsia="Times New Roman" w:hAnsi="Times New Roman"/>
          <w:sz w:val="16"/>
          <w:szCs w:val="16"/>
          <w:color w:val="231F20"/>
        </w:rPr>
        <w:t>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15240</wp:posOffset>
                </wp:positionV>
                <wp:extent cx="27432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1.2pt" to="540pt,1.2pt" o:allowincell="f" strokecolor="#231F20" strokeweight="0.5pt"/>
            </w:pict>
          </mc:Fallback>
        </mc:AlternateContent>
      </w:r>
    </w:p>
    <w:p>
      <w:pPr>
        <w:spacing w:after="0" w:line="1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color w:val="231F20"/>
        </w:rPr>
        <w:t>Vladimir Rak</w:t>
      </w:r>
    </w:p>
    <w:p>
      <w:pPr>
        <w:spacing w:after="0" w:line="2"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20"/>
          <w:szCs w:val="20"/>
          <w:b w:val="1"/>
          <w:bCs w:val="1"/>
          <w:i w:val="1"/>
          <w:iCs w:val="1"/>
          <w:color w:val="231F20"/>
        </w:rPr>
        <w:t>Director</w:t>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780"/>
          </w:cols>
          <w:pgMar w:left="540" w:top="746" w:right="560"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89" w:name="page90"/>
    <w:bookmarkEnd w:id="89"/>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0">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color w:val="FFFFFF"/>
        </w:rPr>
        <w:t>Corporate Headquarters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1305 Cherrington Parkway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Building 210, Suite 400</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Moon Township, PA 15108</w:t>
      </w:r>
    </w:p>
    <w:p>
      <w:pPr>
        <w:spacing w:after="0" w:line="365" w:lineRule="exact"/>
        <w:rPr>
          <w:sz w:val="20"/>
          <w:szCs w:val="20"/>
          <w:color w:val="auto"/>
        </w:rPr>
      </w:pPr>
    </w:p>
    <w:p>
      <w:pPr>
        <w:ind w:left="480"/>
        <w:spacing w:after="0"/>
        <w:rPr>
          <w:sz w:val="20"/>
          <w:szCs w:val="20"/>
          <w:color w:val="auto"/>
        </w:rPr>
      </w:pPr>
      <w:r>
        <w:rPr>
          <w:rFonts w:ascii="Arial" w:cs="Arial" w:eastAsia="Arial" w:hAnsi="Arial"/>
          <w:sz w:val="20"/>
          <w:szCs w:val="20"/>
          <w:color w:val="FFFFFF"/>
        </w:rPr>
        <w:t>+1 800 627 8323</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20"/>
          <w:szCs w:val="20"/>
          <w:color w:val="FFFFFF"/>
        </w:rPr>
        <w:t>+1 412 787 2100</w:t>
      </w:r>
    </w:p>
    <w:p>
      <w:pPr>
        <w:spacing w:after="0" w:line="149" w:lineRule="exact"/>
        <w:rPr>
          <w:sz w:val="20"/>
          <w:szCs w:val="20"/>
          <w:color w:val="auto"/>
        </w:rPr>
      </w:pPr>
    </w:p>
    <w:p>
      <w:pPr>
        <w:jc w:val="right"/>
        <w:ind w:right="6200"/>
        <w:spacing w:after="0"/>
        <w:rPr>
          <w:sz w:val="20"/>
          <w:szCs w:val="20"/>
          <w:color w:val="auto"/>
        </w:rPr>
      </w:pPr>
      <w:r>
        <w:rPr>
          <w:rFonts w:ascii="Arial" w:cs="Arial" w:eastAsia="Arial" w:hAnsi="Arial"/>
          <w:sz w:val="20"/>
          <w:szCs w:val="20"/>
          <w:color w:val="FFFFFF"/>
        </w:rPr>
        <w:t>experience@mastechdigital.com</w:t>
      </w:r>
    </w:p>
    <w:sectPr>
      <w:pgSz w:w="11880" w:h="15480" w:orient="portrait"/>
      <w:cols w:equalWidth="0" w:num="1">
        <w:col w:w="9700"/>
      </w:cols>
      <w:pgMar w:left="7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6"/>
    </w:lvl>
  </w:abstractNum>
  <w:abstractNum w:abstractNumId="30">
    <w:nsid w:val="2463B9EA"/>
    <w:multiLevelType w:val="hybridMultilevel"/>
    <w:lvl w:ilvl="0">
      <w:lvlJc w:val="left"/>
      <w:lvlText w:val="%1."/>
      <w:numFmt w:val="decimal"/>
      <w:start w:val="7"/>
    </w:lvl>
  </w:abstractNum>
  <w:abstractNum w:abstractNumId="31">
    <w:nsid w:val="5E884ADC"/>
    <w:multiLevelType w:val="hybridMultilevel"/>
    <w:lvl w:ilvl="0">
      <w:lvlJc w:val="left"/>
      <w:lvlText w:val="%1."/>
      <w:numFmt w:val="decimal"/>
      <w:start w:val="8"/>
    </w:lvl>
  </w:abstractNum>
  <w:abstractNum w:abstractNumId="32">
    <w:nsid w:val="51EAD36B"/>
    <w:multiLevelType w:val="hybridMultilevel"/>
    <w:lvl w:ilvl="0">
      <w:lvlJc w:val="left"/>
      <w:lvlText w:val="%1."/>
      <w:numFmt w:val="decimal"/>
      <w:start w:val="9"/>
    </w:lvl>
  </w:abstractNum>
  <w:abstractNum w:abstractNumId="33">
    <w:nsid w:val="2D517796"/>
    <w:multiLevelType w:val="hybridMultilevel"/>
    <w:lvl w:ilvl="0">
      <w:lvlJc w:val="left"/>
      <w:lvlText w:val="%1."/>
      <w:numFmt w:val="decimal"/>
      <w:start w:val="11"/>
    </w:lvl>
  </w:abstractNum>
  <w:abstractNum w:abstractNumId="34">
    <w:nsid w:val="580BD78F"/>
    <w:multiLevelType w:val="hybridMultilevel"/>
    <w:lvl w:ilvl="0">
      <w:lvlJc w:val="left"/>
      <w:lvlText w:val="%1."/>
      <w:numFmt w:val="decimal"/>
      <w:start w:val="12"/>
    </w:lvl>
  </w:abstractNum>
  <w:abstractNum w:abstractNumId="35">
    <w:nsid w:val="153EA438"/>
    <w:multiLevelType w:val="hybridMultilevel"/>
    <w:lvl w:ilvl="0">
      <w:lvlJc w:val="left"/>
      <w:lvlText w:val="%1."/>
      <w:numFmt w:val="decimal"/>
      <w:start w:val="13"/>
    </w:lvl>
  </w:abstractNum>
  <w:abstractNum w:abstractNumId="36">
    <w:nsid w:val="3855585C"/>
    <w:multiLevelType w:val="hybridMultilevel"/>
    <w:lvl w:ilvl="0">
      <w:lvlJc w:val="left"/>
      <w:lvlText w:val="%1."/>
      <w:numFmt w:val="decimal"/>
      <w:start w:val="14"/>
    </w:lvl>
  </w:abstractNum>
  <w:abstractNum w:abstractNumId="37">
    <w:nsid w:val="70A64E2A"/>
    <w:multiLevelType w:val="hybridMultilevel"/>
    <w:lvl w:ilvl="0">
      <w:lvlJc w:val="left"/>
      <w:lvlText w:val="%1."/>
      <w:numFmt w:val="decimal"/>
      <w:start w:val="15"/>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6"/>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7"/>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2"/>
    </w:lvl>
  </w:abstractNum>
  <w:abstractNum w:abstractNumId="44">
    <w:nsid w:val="7A6D8D3C"/>
    <w:multiLevelType w:val="hybridMultilevel"/>
    <w:lvl w:ilvl="0">
      <w:lvlJc w:val="left"/>
      <w:lvlText w:val="%1."/>
      <w:numFmt w:val="decimal"/>
      <w:start w:val="3"/>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2026-04-09T10:04:58Z</dcterms:created>
  <dcterms:modified xsi:type="dcterms:W3CDTF">2026-04-09T10:04:58Z</dcterms:modified>
</cp:coreProperties>
</file>